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089E9192">
      <w:pPr>
        <w:pStyle w:val="MeetingDetails"/>
      </w:pPr>
      <w:r>
        <w:t>June</w:t>
      </w:r>
      <w:r w:rsidR="007A2735">
        <w:t xml:space="preserve"> </w:t>
      </w:r>
      <w:r w:rsidR="006F7D45">
        <w:t>1</w:t>
      </w:r>
      <w:r>
        <w:t>3</w:t>
      </w:r>
      <w:r w:rsidR="002B2F98">
        <w:t xml:space="preserve">, </w:t>
      </w:r>
      <w:r w:rsidR="00A56D57">
        <w:t>202</w:t>
      </w:r>
      <w:r w:rsidR="00FC4DCA">
        <w:t>3</w:t>
      </w:r>
    </w:p>
    <w:p w:rsidR="00B62597" w:rsidRPr="00B62597" w:rsidP="00755096" w14:paraId="6397DA5A" w14:textId="531CDB56">
      <w:pPr>
        <w:pStyle w:val="MeetingDetails"/>
        <w:rPr>
          <w:sz w:val="28"/>
          <w:u w:val="single"/>
        </w:rPr>
      </w:pPr>
      <w:r>
        <w:t>1</w:t>
      </w:r>
      <w:r w:rsidR="002B2F98">
        <w:t xml:space="preserve">:00 </w:t>
      </w:r>
      <w:r>
        <w:t>p</w:t>
      </w:r>
      <w:r w:rsidR="002B2F98">
        <w:t xml:space="preserve">.m. – </w:t>
      </w:r>
      <w:r>
        <w:t>4</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49005757">
      <w:pPr>
        <w:pStyle w:val="PrimaryHeading"/>
        <w:rPr>
          <w:caps/>
        </w:rPr>
      </w:pPr>
      <w:bookmarkStart w:id="0" w:name="OLE_LINK5"/>
      <w:bookmarkStart w:id="1" w:name="OLE_LINK3"/>
      <w:r w:rsidRPr="00527104">
        <w:t>Adm</w:t>
      </w:r>
      <w:r w:rsidRPr="007C2954">
        <w:t>inistrati</w:t>
      </w:r>
      <w:r w:rsidRPr="00527104">
        <w:t>on (</w:t>
      </w:r>
      <w:r w:rsidR="009F0CB7">
        <w:t>1</w:t>
      </w:r>
      <w:r w:rsidRPr="00527104">
        <w:t>:00</w:t>
      </w:r>
      <w:r w:rsidR="009F0CB7">
        <w:t xml:space="preserve"> p.m.</w:t>
      </w:r>
      <w:r w:rsidR="001C3AB6">
        <w:t xml:space="preserve"> – </w:t>
      </w:r>
      <w:r w:rsidR="009F0CB7">
        <w:t>1</w:t>
      </w:r>
      <w:r w:rsidRPr="00527104">
        <w:t>:</w:t>
      </w:r>
      <w:r w:rsidR="00CC3DF3">
        <w:t>1</w:t>
      </w:r>
      <w:r w:rsidR="005C72D4">
        <w:t>0</w:t>
      </w:r>
      <w:r w:rsidR="009F0CB7">
        <w:t xml:space="preserve"> p. m.</w:t>
      </w:r>
      <w:r w:rsidRPr="00527104">
        <w:t>)</w:t>
      </w:r>
    </w:p>
    <w:bookmarkEnd w:id="0"/>
    <w:bookmarkEnd w:id="1"/>
    <w:p w:rsidR="002C6057" w:rsidRPr="002C6057" w:rsidP="002C6057" w14:paraId="064F6C55" w14:textId="28E2C6FC">
      <w:pPr>
        <w:pStyle w:val="SecondaryHeading-Numbered"/>
        <w:rPr>
          <w:b w:val="0"/>
        </w:rPr>
      </w:pPr>
      <w:r>
        <w:rPr>
          <w:b w:val="0"/>
        </w:rPr>
        <w:t>Wenzheng Qiu</w:t>
      </w:r>
      <w:r w:rsidR="00BD7F71">
        <w:rPr>
          <w:b w:val="0"/>
        </w:rPr>
        <w:t>, PJM,</w:t>
      </w:r>
      <w:r w:rsidR="00C430E0">
        <w:rPr>
          <w:b w:val="0"/>
        </w:rPr>
        <w:t xml:space="preserve"> </w:t>
      </w:r>
      <w:r w:rsidR="00AC65FB">
        <w:rPr>
          <w:b w:val="0"/>
        </w:rPr>
        <w:t xml:space="preserve">will </w:t>
      </w:r>
      <w:r w:rsidR="005C72D4">
        <w:rPr>
          <w:b w:val="0"/>
        </w:rPr>
        <w:t xml:space="preserve">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3035622F">
      <w:pPr>
        <w:pStyle w:val="SecondaryHeading-Numbered"/>
        <w:rPr>
          <w:b w:val="0"/>
        </w:rPr>
      </w:pPr>
      <w:r>
        <w:rPr>
          <w:b w:val="0"/>
        </w:rPr>
        <w:t>Mike Herman</w:t>
      </w:r>
      <w:r w:rsidR="00BD7F71">
        <w:rPr>
          <w:b w:val="0"/>
        </w:rPr>
        <w:t>, PJM,</w:t>
      </w:r>
      <w:r w:rsidR="00C430E0">
        <w:rPr>
          <w:b w:val="0"/>
        </w:rPr>
        <w:t xml:space="preserve"> </w:t>
      </w:r>
      <w:r w:rsidR="00AC65FB">
        <w:rPr>
          <w:b w:val="0"/>
        </w:rPr>
        <w:t xml:space="preserve">will </w:t>
      </w:r>
      <w:r>
        <w:rPr>
          <w:b w:val="0"/>
        </w:rPr>
        <w:t xml:space="preserve">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1810A16A">
      <w:pPr>
        <w:pStyle w:val="PrimaryHeading"/>
      </w:pPr>
      <w:r w:rsidRPr="00EC2F73">
        <w:t>Consensus Based Issue Resolution (</w:t>
      </w:r>
      <w:r w:rsidR="009F0CB7">
        <w:t>1</w:t>
      </w:r>
      <w:r w:rsidRPr="00EC2F73" w:rsidR="003176B6">
        <w:t>:</w:t>
      </w:r>
      <w:r w:rsidRPr="00EC2F73" w:rsidR="00033D24">
        <w:t>1</w:t>
      </w:r>
      <w:r w:rsidRPr="00EC2F73">
        <w:t xml:space="preserve">0 </w:t>
      </w:r>
      <w:r w:rsidR="009F0CB7">
        <w:t>p</w:t>
      </w:r>
      <w:r w:rsidRPr="00EC2F73">
        <w:t xml:space="preserve">.m. – </w:t>
      </w:r>
      <w:r w:rsidR="009F0CB7">
        <w:t>4</w:t>
      </w:r>
      <w:r w:rsidR="00A148A3">
        <w:t xml:space="preserve">:00 </w:t>
      </w:r>
      <w:r w:rsidR="009F0CB7">
        <w:t>p</w:t>
      </w:r>
      <w:r w:rsidRPr="00EC2F73">
        <w:t>.m.)</w:t>
      </w:r>
    </w:p>
    <w:p w:rsidR="007A08B7" w:rsidP="00741B20" w14:paraId="13553811" w14:textId="6DCE7ABA">
      <w:pPr>
        <w:pStyle w:val="ListSubhead1"/>
        <w:rPr>
          <w:rStyle w:val="ui-provider"/>
          <w:b w:val="0"/>
        </w:rPr>
      </w:pPr>
      <w:r>
        <w:rPr>
          <w:rStyle w:val="ui-provider"/>
          <w:b w:val="0"/>
        </w:rPr>
        <w:t xml:space="preserve">Madalyn Beban, PJM, will discuss </w:t>
      </w:r>
      <w:r>
        <w:rPr>
          <w:rStyle w:val="ui-provider"/>
          <w:b w:val="0"/>
        </w:rPr>
        <w:t xml:space="preserve">Regulation </w:t>
      </w:r>
      <w:r>
        <w:rPr>
          <w:rStyle w:val="ui-provider"/>
          <w:b w:val="0"/>
        </w:rPr>
        <w:t xml:space="preserve">Requirement </w:t>
      </w:r>
      <w:r>
        <w:rPr>
          <w:rStyle w:val="ui-provider"/>
          <w:b w:val="0"/>
        </w:rPr>
        <w:t>.</w:t>
      </w:r>
    </w:p>
    <w:p w:rsidR="003176B6" w:rsidRPr="005C5341" w:rsidP="00CB599F" w14:paraId="5046BE91" w14:textId="4BCC0280">
      <w:pPr>
        <w:pStyle w:val="ListSubhead1"/>
      </w:pPr>
      <w:r w:rsidRPr="005C5341">
        <w:rPr>
          <w:b w:val="0"/>
        </w:rPr>
        <w:t>Mike Herman</w:t>
      </w:r>
      <w:r w:rsidR="00AE2B06">
        <w:rPr>
          <w:b w:val="0"/>
        </w:rPr>
        <w:t>, PJM,</w:t>
      </w:r>
      <w:r w:rsidRPr="005C5341">
        <w:rPr>
          <w:b w:val="0"/>
        </w:rPr>
        <w:t xml:space="preserve"> </w:t>
      </w:r>
      <w:r w:rsidR="00027053">
        <w:rPr>
          <w:b w:val="0"/>
        </w:rPr>
        <w:t xml:space="preserve">will </w:t>
      </w:r>
      <w:r w:rsidRPr="005C5341">
        <w:rPr>
          <w:b w:val="0"/>
        </w:rPr>
        <w:t>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r w:rsidR="0022344F">
        <w:rPr>
          <w:b w:val="0"/>
        </w:rPr>
        <w:t xml:space="preserve"> leading up to a vote and an upcoming MRC</w:t>
      </w:r>
      <w:r w:rsidR="007C04EF">
        <w:rPr>
          <w:b w:val="0"/>
        </w:rPr>
        <w:t>.</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3A7607">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tcPr>
          <w:p w:rsidR="00FD2C9A" w:rsidRPr="003C3320" w:rsidP="00FD2C9A" w14:paraId="0ABA169F" w14:textId="32D5EE20">
            <w:pPr>
              <w:pStyle w:val="PrimaryHeading"/>
              <w:spacing w:after="0"/>
              <w:jc w:val="left"/>
              <w:rPr>
                <w:b/>
                <w:i w:val="0"/>
              </w:rPr>
            </w:pPr>
            <w:r>
              <w:rPr>
                <w:color w:val="auto"/>
                <w:sz w:val="18"/>
                <w:szCs w:val="18"/>
              </w:rPr>
              <w:t>July 18, 2023</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tcPr>
          <w:p w:rsidR="00FD2C9A" w:rsidRPr="00DA23DE" w:rsidP="00FD2C9A" w14:paraId="0954039E" w14:textId="77777777">
            <w:pPr>
              <w:pStyle w:val="DisclaimerHeading"/>
              <w:spacing w:before="40" w:after="40"/>
              <w:jc w:val="center"/>
              <w:rPr>
                <w:bCs w:val="0"/>
                <w:color w:val="FFFFFF" w:themeColor="background1"/>
                <w:sz w:val="19"/>
                <w:szCs w:val="19"/>
              </w:rPr>
            </w:pPr>
            <w:r>
              <w:rPr>
                <w:color w:val="auto"/>
                <w:sz w:val="18"/>
                <w:szCs w:val="18"/>
              </w:rPr>
              <w:t>1:00 p.m.</w:t>
            </w:r>
          </w:p>
          <w:p w:rsidR="00FD2C9A" w:rsidRPr="00DA23DE" w:rsidP="00FD2C9A" w14:paraId="20027F78" w14:textId="771B7540">
            <w:pPr>
              <w:pStyle w:val="DisclaimerHeading"/>
              <w:spacing w:before="40" w:after="40"/>
              <w:jc w:val="center"/>
              <w:rPr>
                <w:b/>
                <w:color w:val="FFFFFF" w:themeColor="background1"/>
                <w:sz w:val="19"/>
                <w:szCs w:val="19"/>
              </w:rPr>
            </w:pPr>
            <w:r>
              <w:rPr>
                <w:color w:val="auto"/>
                <w:sz w:val="18"/>
                <w:szCs w:val="18"/>
              </w:rPr>
              <w:t>July 10, 2023</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tcPr>
          <w:p w:rsidR="00FD2C9A" w:rsidRPr="00DA23DE" w:rsidP="00FD2C9A" w14:paraId="5E6591A6" w14:textId="77777777">
            <w:pPr>
              <w:pStyle w:val="DisclaimerHeading"/>
              <w:spacing w:before="40" w:after="40"/>
              <w:jc w:val="center"/>
              <w:rPr>
                <w:bCs w:val="0"/>
                <w:color w:val="FFFFFF" w:themeColor="background1"/>
                <w:sz w:val="19"/>
                <w:szCs w:val="19"/>
              </w:rPr>
            </w:pPr>
            <w:r>
              <w:rPr>
                <w:color w:val="auto"/>
                <w:sz w:val="18"/>
                <w:szCs w:val="18"/>
              </w:rPr>
              <w:t>WebEx</w:t>
            </w:r>
          </w:p>
          <w:p w:rsidR="00FD2C9A" w:rsidRPr="00DA23DE" w:rsidP="00FD2C9A" w14:paraId="1AE0F0CB" w14:textId="79917BD2">
            <w:pPr>
              <w:pStyle w:val="DisclaimerHeading"/>
              <w:spacing w:before="40" w:after="40"/>
              <w:jc w:val="center"/>
              <w:rPr>
                <w:b/>
                <w:color w:val="FFFFFF" w:themeColor="background1"/>
                <w:sz w:val="19"/>
                <w:szCs w:val="19"/>
              </w:rPr>
            </w:pPr>
            <w:r>
              <w:rPr>
                <w:color w:val="auto"/>
                <w:sz w:val="18"/>
                <w:szCs w:val="18"/>
              </w:rPr>
              <w:t>July 13, 2028</w:t>
            </w:r>
          </w:p>
        </w:tc>
      </w:tr>
      <w:tr w14:paraId="114FE95C" w14:textId="77777777" w:rsidTr="003A7607">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tcPr>
          <w:p w:rsidR="00FD2C9A" w:rsidRPr="00BB6921" w:rsidP="00FD2C9A" w14:paraId="1DA45E2E" w14:textId="27B56117">
            <w:pPr>
              <w:pStyle w:val="DisclaimerHeading"/>
              <w:jc w:val="left"/>
              <w:rPr>
                <w:i w:val="0"/>
                <w:color w:val="auto"/>
                <w:sz w:val="19"/>
                <w:szCs w:val="19"/>
              </w:rPr>
            </w:pPr>
            <w:r>
              <w:rPr>
                <w:b w:val="0"/>
                <w:color w:val="auto"/>
                <w:sz w:val="18"/>
                <w:szCs w:val="18"/>
              </w:rPr>
              <w:t>July 18, 2023</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tcPr>
          <w:p w:rsidR="00FD2C9A" w:rsidRPr="00BB6921" w:rsidP="00FD2C9A" w14:paraId="45BDD916" w14:textId="4E570B78">
            <w:pPr>
              <w:pStyle w:val="DisclaimerHeading"/>
              <w:rPr>
                <w:color w:val="auto"/>
                <w:sz w:val="19"/>
                <w:szCs w:val="19"/>
              </w:rPr>
            </w:pPr>
            <w:r>
              <w:rPr>
                <w:b w:val="0"/>
                <w:color w:val="auto"/>
                <w:sz w:val="18"/>
                <w:szCs w:val="18"/>
              </w:rPr>
              <w:t>1:00 p.m.</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FD2C9A" w:rsidRPr="00BB6921" w:rsidP="00FD2C9A" w14:paraId="1F3DFAAF" w14:textId="022F05F8">
            <w:pPr>
              <w:pStyle w:val="DisclaimerHeading"/>
              <w:jc w:val="center"/>
              <w:rPr>
                <w:color w:val="auto"/>
                <w:sz w:val="19"/>
                <w:szCs w:val="19"/>
              </w:rPr>
            </w:pPr>
            <w:r>
              <w:rPr>
                <w:b w:val="0"/>
                <w:color w:val="auto"/>
                <w:sz w:val="18"/>
                <w:szCs w:val="18"/>
              </w:rPr>
              <w:t>WebEx</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tcPr>
          <w:p w:rsidR="00FD2C9A" w:rsidRPr="00C10A93" w:rsidP="00FD2C9A"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tcPr>
          <w:p w:rsidR="00FD2C9A" w:rsidRPr="00C10A93" w:rsidP="00FD2C9A" w14:paraId="110BEB55" w14:textId="77777777">
            <w:pPr>
              <w:pStyle w:val="DisclaimerHeading"/>
              <w:jc w:val="center"/>
              <w:rPr>
                <w:color w:val="FFFFFF" w:themeColor="background1"/>
                <w:sz w:val="19"/>
                <w:szCs w:val="19"/>
              </w:rPr>
            </w:pPr>
          </w:p>
        </w:tc>
      </w:tr>
      <w:tr w14:paraId="7A5EECB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D2C9A" w:rsidP="00FD2C9A" w14:paraId="0A823B1B" w14:textId="33AA03E6">
            <w:pPr>
              <w:pStyle w:val="DisclaimerHeading"/>
              <w:spacing w:before="40" w:after="40" w:line="220" w:lineRule="exact"/>
              <w:jc w:val="center"/>
              <w:rPr>
                <w:b w:val="0"/>
                <w:color w:val="auto"/>
                <w:sz w:val="18"/>
                <w:szCs w:val="18"/>
              </w:rPr>
            </w:pPr>
            <w:r>
              <w:rPr>
                <w:b w:val="0"/>
                <w:color w:val="auto"/>
                <w:sz w:val="18"/>
                <w:szCs w:val="18"/>
              </w:rPr>
              <w:t>July 18, 2023</w:t>
            </w:r>
          </w:p>
        </w:tc>
        <w:tc>
          <w:tcPr>
            <w:tcW w:w="900" w:type="dxa"/>
            <w:tcBorders>
              <w:top w:val="single" w:sz="4" w:space="0" w:color="auto"/>
              <w:left w:val="single" w:sz="4" w:space="0" w:color="auto"/>
              <w:bottom w:val="single" w:sz="4" w:space="0" w:color="auto"/>
              <w:right w:val="single" w:sz="8" w:space="0" w:color="auto"/>
            </w:tcBorders>
          </w:tcPr>
          <w:p w:rsidR="00FD2C9A" w:rsidP="00FD2C9A" w14:paraId="4122260B" w14:textId="519E6C87">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FD2C9A" w:rsidP="00FD2C9A" w14:paraId="561A466B" w14:textId="00AE043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D2C9A" w:rsidP="00FD2C9A" w14:paraId="490C4938" w14:textId="22B21B35">
            <w:pPr>
              <w:pStyle w:val="DisclaimerHeading"/>
              <w:spacing w:before="40" w:after="40" w:line="220" w:lineRule="exact"/>
              <w:jc w:val="center"/>
              <w:rPr>
                <w:b w:val="0"/>
                <w:color w:val="auto"/>
                <w:sz w:val="18"/>
                <w:szCs w:val="18"/>
              </w:rPr>
            </w:pPr>
            <w:r>
              <w:rPr>
                <w:b w:val="0"/>
                <w:color w:val="auto"/>
                <w:sz w:val="18"/>
                <w:szCs w:val="18"/>
              </w:rPr>
              <w:t>July 10, 2023</w:t>
            </w:r>
          </w:p>
        </w:tc>
        <w:tc>
          <w:tcPr>
            <w:tcW w:w="1604" w:type="dxa"/>
            <w:tcBorders>
              <w:top w:val="single" w:sz="4" w:space="0" w:color="auto"/>
              <w:left w:val="single" w:sz="4" w:space="0" w:color="auto"/>
              <w:bottom w:val="single" w:sz="4" w:space="0" w:color="auto"/>
              <w:right w:val="single" w:sz="4" w:space="0" w:color="auto"/>
            </w:tcBorders>
          </w:tcPr>
          <w:p w:rsidR="00FD2C9A" w:rsidP="00FD2C9A" w14:paraId="7761B4B8" w14:textId="64F5B573">
            <w:pPr>
              <w:pStyle w:val="DisclaimerHeading"/>
              <w:spacing w:before="40" w:after="40" w:line="220" w:lineRule="exact"/>
              <w:jc w:val="center"/>
              <w:rPr>
                <w:b w:val="0"/>
                <w:color w:val="auto"/>
                <w:sz w:val="18"/>
                <w:szCs w:val="18"/>
              </w:rPr>
            </w:pPr>
            <w:r>
              <w:rPr>
                <w:b w:val="0"/>
                <w:color w:val="auto"/>
                <w:sz w:val="18"/>
                <w:szCs w:val="18"/>
              </w:rPr>
              <w:t>July 13, 2028</w:t>
            </w:r>
          </w:p>
        </w:tc>
      </w:tr>
      <w:tr w14:paraId="3D6AB013"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F0CB7" w:rsidP="00FD2C9A" w14:paraId="771AFD77" w14:textId="43499C17">
            <w:pPr>
              <w:pStyle w:val="DisclaimerHeading"/>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w:t>
            </w:r>
            <w:r>
              <w:rPr>
                <w:b w:val="0"/>
                <w:color w:val="auto"/>
                <w:sz w:val="18"/>
                <w:szCs w:val="18"/>
              </w:rPr>
              <w:t>21</w:t>
            </w:r>
            <w:r>
              <w:rPr>
                <w:b w:val="0"/>
                <w:color w:val="auto"/>
                <w:sz w:val="18"/>
                <w:szCs w:val="18"/>
              </w:rPr>
              <w:t>, 2023</w:t>
            </w:r>
          </w:p>
        </w:tc>
        <w:tc>
          <w:tcPr>
            <w:tcW w:w="900" w:type="dxa"/>
            <w:tcBorders>
              <w:top w:val="single" w:sz="4" w:space="0" w:color="auto"/>
              <w:left w:val="single" w:sz="4" w:space="0" w:color="auto"/>
              <w:bottom w:val="single" w:sz="4" w:space="0" w:color="auto"/>
              <w:right w:val="single" w:sz="8" w:space="0" w:color="auto"/>
            </w:tcBorders>
          </w:tcPr>
          <w:p w:rsidR="009F0CB7" w:rsidP="009F0CB7" w14:paraId="617ABAAF" w14:textId="72C00EB2">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9F0CB7" w:rsidP="009F0CB7" w14:paraId="3C58C08A" w14:textId="307D1931">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F0CB7" w:rsidP="00FD2C9A" w14:paraId="33DF365D" w14:textId="0EED32A5">
            <w:pPr>
              <w:pStyle w:val="DisclaimerHeading"/>
              <w:spacing w:before="40" w:after="40" w:line="220" w:lineRule="exact"/>
              <w:jc w:val="center"/>
              <w:rPr>
                <w:b w:val="0"/>
                <w:color w:val="auto"/>
                <w:sz w:val="18"/>
                <w:szCs w:val="18"/>
              </w:rPr>
            </w:pPr>
            <w:r>
              <w:rPr>
                <w:b w:val="0"/>
                <w:color w:val="auto"/>
                <w:sz w:val="18"/>
                <w:szCs w:val="18"/>
              </w:rPr>
              <w:t>August 14</w:t>
            </w:r>
            <w:r>
              <w:rPr>
                <w:b w:val="0"/>
                <w:color w:val="auto"/>
                <w:sz w:val="18"/>
                <w:szCs w:val="18"/>
              </w:rPr>
              <w:t>, 2023</w:t>
            </w:r>
          </w:p>
        </w:tc>
        <w:tc>
          <w:tcPr>
            <w:tcW w:w="1604" w:type="dxa"/>
            <w:tcBorders>
              <w:top w:val="single" w:sz="4" w:space="0" w:color="auto"/>
              <w:left w:val="single" w:sz="4" w:space="0" w:color="auto"/>
              <w:bottom w:val="single" w:sz="4" w:space="0" w:color="auto"/>
              <w:right w:val="single" w:sz="4" w:space="0" w:color="auto"/>
            </w:tcBorders>
          </w:tcPr>
          <w:p w:rsidR="009F0CB7" w:rsidP="009F0CB7" w14:paraId="15356B86" w14:textId="2B3C080C">
            <w:pPr>
              <w:pStyle w:val="DisclaimerHeading"/>
              <w:spacing w:before="40" w:after="40" w:line="220" w:lineRule="exact"/>
              <w:jc w:val="center"/>
              <w:rPr>
                <w:b w:val="0"/>
                <w:color w:val="auto"/>
                <w:sz w:val="18"/>
                <w:szCs w:val="18"/>
              </w:rPr>
            </w:pPr>
            <w:r>
              <w:rPr>
                <w:b w:val="0"/>
                <w:color w:val="auto"/>
                <w:sz w:val="18"/>
                <w:szCs w:val="18"/>
              </w:rPr>
              <w:t>August 16</w:t>
            </w:r>
            <w:r>
              <w:rPr>
                <w:b w:val="0"/>
                <w:color w:val="auto"/>
                <w:sz w:val="18"/>
                <w:szCs w:val="18"/>
              </w:rPr>
              <w:t>, 2028</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bookmarkStart w:id="2" w:name="_GoBack"/>
      <w:bookmarkEnd w:id="2"/>
    </w:p>
    <w:p w:rsidR="008B2E00" w:rsidP="00337321" w14:paraId="22485B02" w14:textId="678DD0D5">
      <w:pPr>
        <w:pStyle w:val="Author"/>
      </w:pPr>
    </w:p>
    <w:p w:rsidR="008B2E00" w:rsidP="00BF6765" w14:paraId="4691792F" w14:textId="65EA9DD3">
      <w:pPr>
        <w:pStyle w:val="Author"/>
        <w:tabs>
          <w:tab w:val="clear" w:pos="2160"/>
          <w:tab w:val="left" w:pos="5554"/>
        </w:tabs>
      </w:pPr>
      <w:r>
        <w:tab/>
      </w: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2F42889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2C9A">
      <w:rPr>
        <w:rStyle w:val="PageNumber"/>
        <w:noProof/>
      </w:rPr>
      <w:t>1</w:t>
    </w:r>
    <w:r>
      <w:rPr>
        <w:rStyle w:val="PageNumber"/>
      </w:rPr>
      <w:fldChar w:fldCharType="end"/>
    </w:r>
  </w:p>
  <w:bookmarkStart w:id="3"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4602989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F0CB7">
      <w:t>June</w:t>
    </w:r>
    <w:r w:rsidR="00FB356E">
      <w:t xml:space="preserve"> </w:t>
    </w:r>
    <w:r w:rsidR="006F7D45">
      <w:t>1</w:t>
    </w:r>
    <w:r w:rsidR="009F0CB7">
      <w:t>3</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3C6C46"/>
    <w:multiLevelType w:val="hybridMultilevel"/>
    <w:tmpl w:val="3B9E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7"/>
  </w:num>
  <w:num w:numId="14">
    <w:abstractNumId w:val="10"/>
  </w:num>
  <w:num w:numId="15">
    <w:abstractNumId w:val="6"/>
  </w:num>
  <w:num w:numId="16">
    <w:abstractNumId w:val="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344F"/>
    <w:rsid w:val="00224311"/>
    <w:rsid w:val="0025139E"/>
    <w:rsid w:val="00283D90"/>
    <w:rsid w:val="00293FC1"/>
    <w:rsid w:val="002A31ED"/>
    <w:rsid w:val="002B2F98"/>
    <w:rsid w:val="002B5A83"/>
    <w:rsid w:val="002C6057"/>
    <w:rsid w:val="002F7977"/>
    <w:rsid w:val="00305238"/>
    <w:rsid w:val="0030737E"/>
    <w:rsid w:val="003176B6"/>
    <w:rsid w:val="003251CE"/>
    <w:rsid w:val="0032552C"/>
    <w:rsid w:val="003320F7"/>
    <w:rsid w:val="00337321"/>
    <w:rsid w:val="003670C8"/>
    <w:rsid w:val="00376511"/>
    <w:rsid w:val="003908DC"/>
    <w:rsid w:val="00394850"/>
    <w:rsid w:val="003B55E1"/>
    <w:rsid w:val="003C17E2"/>
    <w:rsid w:val="003C1CD8"/>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F4779"/>
    <w:rsid w:val="00504A2B"/>
    <w:rsid w:val="005150F1"/>
    <w:rsid w:val="00527104"/>
    <w:rsid w:val="00533252"/>
    <w:rsid w:val="0054185A"/>
    <w:rsid w:val="005464D1"/>
    <w:rsid w:val="005471F9"/>
    <w:rsid w:val="00550847"/>
    <w:rsid w:val="00552E7F"/>
    <w:rsid w:val="00564DEE"/>
    <w:rsid w:val="0057441E"/>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63546"/>
    <w:rsid w:val="00663F26"/>
    <w:rsid w:val="00680DE4"/>
    <w:rsid w:val="00686272"/>
    <w:rsid w:val="006B7CCB"/>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1B20"/>
    <w:rsid w:val="00744A45"/>
    <w:rsid w:val="00754C6D"/>
    <w:rsid w:val="00755096"/>
    <w:rsid w:val="0076460F"/>
    <w:rsid w:val="00764B9C"/>
    <w:rsid w:val="007703B4"/>
    <w:rsid w:val="0078625E"/>
    <w:rsid w:val="00787594"/>
    <w:rsid w:val="007A08B7"/>
    <w:rsid w:val="007A2735"/>
    <w:rsid w:val="007A283F"/>
    <w:rsid w:val="007A34A3"/>
    <w:rsid w:val="007A49E1"/>
    <w:rsid w:val="007C04EF"/>
    <w:rsid w:val="007C2954"/>
    <w:rsid w:val="007D3FF5"/>
    <w:rsid w:val="007D4F70"/>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A462E"/>
    <w:rsid w:val="008B2E00"/>
    <w:rsid w:val="008B6705"/>
    <w:rsid w:val="008D3535"/>
    <w:rsid w:val="008F495E"/>
    <w:rsid w:val="00906F8B"/>
    <w:rsid w:val="00917386"/>
    <w:rsid w:val="0092763A"/>
    <w:rsid w:val="00933102"/>
    <w:rsid w:val="0094430F"/>
    <w:rsid w:val="0095194C"/>
    <w:rsid w:val="009837A2"/>
    <w:rsid w:val="00991528"/>
    <w:rsid w:val="009959C5"/>
    <w:rsid w:val="009A057E"/>
    <w:rsid w:val="009A5430"/>
    <w:rsid w:val="009B5678"/>
    <w:rsid w:val="009C014D"/>
    <w:rsid w:val="009C15C4"/>
    <w:rsid w:val="009C7951"/>
    <w:rsid w:val="009D6B28"/>
    <w:rsid w:val="009F0CB7"/>
    <w:rsid w:val="009F53F9"/>
    <w:rsid w:val="00A05391"/>
    <w:rsid w:val="00A147DF"/>
    <w:rsid w:val="00A148A3"/>
    <w:rsid w:val="00A317A9"/>
    <w:rsid w:val="00A36265"/>
    <w:rsid w:val="00A41149"/>
    <w:rsid w:val="00A56D57"/>
    <w:rsid w:val="00A6055F"/>
    <w:rsid w:val="00A65846"/>
    <w:rsid w:val="00A840DE"/>
    <w:rsid w:val="00A929A3"/>
    <w:rsid w:val="00AC2247"/>
    <w:rsid w:val="00AC65FB"/>
    <w:rsid w:val="00AD60AF"/>
    <w:rsid w:val="00AE2B06"/>
    <w:rsid w:val="00B11C46"/>
    <w:rsid w:val="00B16D95"/>
    <w:rsid w:val="00B20316"/>
    <w:rsid w:val="00B3092F"/>
    <w:rsid w:val="00B34E3C"/>
    <w:rsid w:val="00B61756"/>
    <w:rsid w:val="00B62597"/>
    <w:rsid w:val="00B7721B"/>
    <w:rsid w:val="00BA6146"/>
    <w:rsid w:val="00BB531B"/>
    <w:rsid w:val="00BB6921"/>
    <w:rsid w:val="00BC1004"/>
    <w:rsid w:val="00BD7F71"/>
    <w:rsid w:val="00BE40F5"/>
    <w:rsid w:val="00BF331B"/>
    <w:rsid w:val="00BF6765"/>
    <w:rsid w:val="00BF6BDB"/>
    <w:rsid w:val="00C0376E"/>
    <w:rsid w:val="00C040B7"/>
    <w:rsid w:val="00C10A93"/>
    <w:rsid w:val="00C302D6"/>
    <w:rsid w:val="00C30D77"/>
    <w:rsid w:val="00C40BFD"/>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EC8"/>
    <w:rsid w:val="00D136EA"/>
    <w:rsid w:val="00D15D15"/>
    <w:rsid w:val="00D251ED"/>
    <w:rsid w:val="00D831E4"/>
    <w:rsid w:val="00D92273"/>
    <w:rsid w:val="00D95949"/>
    <w:rsid w:val="00DA23DE"/>
    <w:rsid w:val="00DB29E9"/>
    <w:rsid w:val="00DB4D5E"/>
    <w:rsid w:val="00DD7C01"/>
    <w:rsid w:val="00DE1196"/>
    <w:rsid w:val="00DE34CF"/>
    <w:rsid w:val="00DE615D"/>
    <w:rsid w:val="00DF1112"/>
    <w:rsid w:val="00DF788F"/>
    <w:rsid w:val="00E0379D"/>
    <w:rsid w:val="00E1605D"/>
    <w:rsid w:val="00E32B6B"/>
    <w:rsid w:val="00E34DB1"/>
    <w:rsid w:val="00E5387A"/>
    <w:rsid w:val="00E55E84"/>
    <w:rsid w:val="00E60834"/>
    <w:rsid w:val="00E81FFA"/>
    <w:rsid w:val="00E8288E"/>
    <w:rsid w:val="00E83843"/>
    <w:rsid w:val="00EA7ED8"/>
    <w:rsid w:val="00EB6391"/>
    <w:rsid w:val="00EB68B0"/>
    <w:rsid w:val="00EC0560"/>
    <w:rsid w:val="00EC2F73"/>
    <w:rsid w:val="00F00ED4"/>
    <w:rsid w:val="00F35195"/>
    <w:rsid w:val="00F40339"/>
    <w:rsid w:val="00F4190F"/>
    <w:rsid w:val="00F44599"/>
    <w:rsid w:val="00F5077C"/>
    <w:rsid w:val="00F7716D"/>
    <w:rsid w:val="00F84AA6"/>
    <w:rsid w:val="00FB1739"/>
    <w:rsid w:val="00FB356E"/>
    <w:rsid w:val="00FB6FCA"/>
    <w:rsid w:val="00FC2B9A"/>
    <w:rsid w:val="00FC4DCA"/>
    <w:rsid w:val="00FD2C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 w:type="paragraph" w:styleId="ListParagraph">
    <w:name w:val="List Paragraph"/>
    <w:basedOn w:val="Normal"/>
    <w:uiPriority w:val="34"/>
    <w:qFormat/>
    <w:rsid w:val="00741B2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