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Regulation Market </w:t>
      </w:r>
      <w:r w:rsidR="00073BE2">
        <w:t>D</w:t>
      </w:r>
      <w:r>
        <w:t>esign Senior Task Force (RM</w:t>
      </w:r>
      <w:r w:rsidR="00073BE2">
        <w:t>D</w:t>
      </w:r>
      <w:r>
        <w:t>STF)</w:t>
      </w:r>
    </w:p>
    <w:p w:rsidR="00B62597" w:rsidRPr="00B62597" w:rsidP="00755096">
      <w:pPr>
        <w:pStyle w:val="MeetingDetails"/>
      </w:pPr>
      <w:r>
        <w:t>PJM Conference and Training Center</w:t>
      </w:r>
    </w:p>
    <w:p w:rsidR="00B62597" w:rsidRPr="00B62597" w:rsidP="00755096">
      <w:pPr>
        <w:pStyle w:val="MeetingDetails"/>
      </w:pPr>
      <w:r>
        <w:t>April 26</w:t>
      </w:r>
      <w:r w:rsidR="002B2F98">
        <w:t xml:space="preserve">, </w:t>
      </w:r>
      <w:r w:rsidR="00A56D57">
        <w:t>2022</w:t>
      </w:r>
    </w:p>
    <w:p w:rsidR="00B62597" w:rsidRPr="00B62597"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5C72D4">
        <w:t>9</w:t>
      </w:r>
      <w:r w:rsidRPr="00527104">
        <w:t>:00-</w:t>
      </w:r>
      <w:r w:rsidR="005C72D4">
        <w:t>9</w:t>
      </w:r>
      <w:r w:rsidRPr="00527104">
        <w:t>:</w:t>
      </w:r>
      <w:r w:rsidR="00CC3DF3">
        <w:t>1</w:t>
      </w:r>
      <w:r w:rsidR="005C72D4">
        <w:t>0</w:t>
      </w:r>
      <w:r w:rsidRPr="00527104">
        <w:t>)</w:t>
      </w:r>
    </w:p>
    <w:bookmarkEnd w:id="1"/>
    <w:bookmarkEnd w:id="2"/>
    <w:p w:rsidR="002C6057" w:rsidRPr="002C6057" w:rsidP="002C6057">
      <w:pPr>
        <w:pStyle w:val="SecondaryHeading-Numbered"/>
        <w:rPr>
          <w:b w:val="0"/>
        </w:rPr>
      </w:pPr>
      <w:r>
        <w:rPr>
          <w:b w:val="0"/>
        </w:rPr>
        <w:t>Amanda Martin, will provide announcements, review the Antitrust, Code of Conduct, Public Meetings/Media Participation Guidelines</w:t>
      </w:r>
      <w:r w:rsidR="00552E7F">
        <w:rPr>
          <w:b w:val="0"/>
        </w:rPr>
        <w:t>.</w:t>
      </w:r>
    </w:p>
    <w:p w:rsidR="005C72D4" w:rsidRPr="00917386" w:rsidP="00CC3DF3">
      <w:pPr>
        <w:pStyle w:val="SecondaryHeading-Numbered"/>
        <w:rPr>
          <w:b w:val="0"/>
        </w:rPr>
      </w:pPr>
      <w:r>
        <w:rPr>
          <w:b w:val="0"/>
        </w:rPr>
        <w:t xml:space="preserve">Mike Herman will review the </w:t>
      </w:r>
      <w:r w:rsidR="00552E7F">
        <w:rPr>
          <w:b w:val="0"/>
        </w:rPr>
        <w:t>agenda and work plan.</w:t>
      </w:r>
    </w:p>
    <w:p w:rsidR="001D3B68" w:rsidRPr="00DB29E9" w:rsidP="007C2954">
      <w:pPr>
        <w:pStyle w:val="PrimaryHeading"/>
      </w:pPr>
      <w:r>
        <w:t>Education</w:t>
      </w:r>
      <w:r>
        <w:t xml:space="preserve"> (</w:t>
      </w:r>
      <w:r w:rsidR="005C72D4">
        <w:t>9</w:t>
      </w:r>
      <w:r>
        <w:t>:</w:t>
      </w:r>
      <w:r w:rsidR="00CC3DF3">
        <w:t>1</w:t>
      </w:r>
      <w:r w:rsidR="005C72D4">
        <w:t>0</w:t>
      </w:r>
      <w:r>
        <w:t>-</w:t>
      </w:r>
      <w:r w:rsidR="00CC3DF3">
        <w:t>11:10</w:t>
      </w:r>
      <w:r>
        <w:t>)</w:t>
      </w:r>
    </w:p>
    <w:p w:rsidR="00533252" w:rsidRPr="00533252" w:rsidP="00533252">
      <w:pPr>
        <w:pStyle w:val="SecondaryHeading-Numbered"/>
        <w:rPr>
          <w:b w:val="0"/>
        </w:rPr>
      </w:pPr>
      <w:r>
        <w:rPr>
          <w:b w:val="0"/>
        </w:rPr>
        <w:t>Mike Handlin, PJM, will provide education on regulation and dispatch operations.</w:t>
      </w:r>
    </w:p>
    <w:p w:rsidR="00CA7061" w:rsidP="00643EA1">
      <w:pPr>
        <w:pStyle w:val="SecondaryHeading-Numbered"/>
        <w:rPr>
          <w:b w:val="0"/>
        </w:rPr>
      </w:pPr>
      <w:r>
        <w:rPr>
          <w:b w:val="0"/>
        </w:rPr>
        <w:t>Ilyana Dropkin, PJM, will provide education o</w:t>
      </w:r>
      <w:r w:rsidR="00552E7F">
        <w:rPr>
          <w:b w:val="0"/>
        </w:rPr>
        <w:t>n regulation performance scores.</w:t>
      </w:r>
    </w:p>
    <w:p w:rsidR="00B62597" w:rsidRPr="00643EA1" w:rsidP="00643EA1">
      <w:pPr>
        <w:pStyle w:val="SecondaryHeading-Numbered"/>
        <w:rPr>
          <w:b w:val="0"/>
        </w:rPr>
      </w:pPr>
      <w:r>
        <w:rPr>
          <w:b w:val="0"/>
        </w:rPr>
        <w:t>Madalyn Beban</w:t>
      </w:r>
      <w:r w:rsidRPr="00643EA1" w:rsidR="005C72D4">
        <w:rPr>
          <w:b w:val="0"/>
        </w:rPr>
        <w:t xml:space="preserve">, PJM, will provide education on </w:t>
      </w:r>
      <w:r>
        <w:rPr>
          <w:b w:val="0"/>
        </w:rPr>
        <w:t>other RTO and ISO regulation market design</w:t>
      </w:r>
      <w:r w:rsidR="00552E7F">
        <w:rPr>
          <w:b w:val="0"/>
        </w:rPr>
        <w:t>.</w:t>
      </w:r>
    </w:p>
    <w:p w:rsidR="00CC3DF3" w:rsidP="00CC3DF3">
      <w:pPr>
        <w:pStyle w:val="PrimaryHeading"/>
      </w:pPr>
      <w:r>
        <w:t>Consensus Based Issue Resolution (11:10 a.m. – 12:00 p.m.)</w:t>
      </w:r>
    </w:p>
    <w:p w:rsidR="00CC3DF3" w:rsidRPr="009B5678" w:rsidP="00CC3DF3">
      <w:pPr>
        <w:pStyle w:val="ListSubhead1"/>
      </w:pPr>
      <w:r>
        <w:rPr>
          <w:b w:val="0"/>
        </w:rPr>
        <w:t xml:space="preserve">Mike Herman, PJM, will provide education and initiate the discussion of interest identification as part of the Consensus-Based Issue </w:t>
      </w:r>
      <w:r w:rsidR="007A49E1">
        <w:rPr>
          <w:b w:val="0"/>
        </w:rPr>
        <w:t>Resolution</w:t>
      </w:r>
      <w:r>
        <w:rPr>
          <w:b w:val="0"/>
        </w:rPr>
        <w:t xml:space="preserve"> (CBIR) proc</w:t>
      </w:r>
      <w:r w:rsidR="00F84AA6">
        <w:rPr>
          <w:b w:val="0"/>
        </w:rPr>
        <w:t>ess.</w:t>
      </w:r>
    </w:p>
    <w:tbl>
      <w:tblPr>
        <w:tblStyle w:val="GridTable2Accent5"/>
        <w:tblStyleRowBandSize w:val="1"/>
        <w:tblStyleColBandSize w:val="1"/>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
      <w:tblGrid>
        <w:gridCol w:w="9360"/>
      </w:tblGrid>
      <w:tr w:rsidTr="00DF1112">
        <w:tblPrEx>
          <w:tblW w:w="0" w:type="auto"/>
          <w:tblInd w:w="0" w:type="dxa"/>
          <w:tblBorders>
            <w:top w:val="none" w:sz="0" w:space="0" w:color="auto"/>
            <w:bottom w:val="none" w:sz="0" w:space="0" w:color="auto"/>
            <w:insideH w:val="none" w:sz="0" w:space="0" w:color="auto"/>
            <w:insideV w:val="none" w:sz="0" w:space="0" w:color="auto"/>
          </w:tblBorders>
          <w:tblLayout w:type="fixed"/>
          <w:tblCellMar>
            <w:top w:w="43" w:type="dxa"/>
            <w:left w:w="115" w:type="dxa"/>
            <w:bottom w:w="0" w:type="dxa"/>
            <w:right w:w="115" w:type="dxa"/>
          </w:tblCellMar>
          <w:tblLook w:val="04A0"/>
        </w:tblPrEx>
        <w:trPr>
          <w:trHeight w:val="331"/>
        </w:trPr>
        <w:tc>
          <w:tcPr>
            <w:tcW w:w="9360" w:type="dxa"/>
            <w:tcBorders>
              <w:top w:val="nil"/>
              <w:bottom w:val="single" w:sz="12" w:space="0" w:color="B2B2B2" w:themeColor="accent5" w:themeTint="99"/>
              <w:insideH w:val="nil"/>
            </w:tcBorders>
            <w:shd w:val="clear" w:color="auto" w:fill="00B0F0" w:themeFill="accent3"/>
          </w:tcPr>
          <w:p w:rsidR="003C3320" w:rsidRPr="0095194C" w:rsidP="009B5678">
            <w:pPr>
              <w:pStyle w:val="PrimaryHeading"/>
              <w:keepNext/>
              <w:shd w:val="clear" w:color="auto" w:fill="00B0F0" w:themeFill="accent3"/>
              <w:spacing w:after="0" w:line="240" w:lineRule="auto"/>
              <w:outlineLvl w:val="0"/>
              <w:rPr>
                <w:rStyle w:val="DefaultParagraphFont"/>
                <w:rFonts w:ascii="Arial Narrow" w:hAnsi="Arial Narrow" w:eastAsiaTheme="minorHAnsi" w:cstheme="minorBidi"/>
                <w:b/>
                <w:bCs/>
                <w:color w:val="FFFFFF" w:themeColor="background1"/>
                <w:kern w:val="28"/>
                <w:sz w:val="22"/>
                <w:szCs w:val="22"/>
                <w:lang w:val="en-US" w:eastAsia="en-US" w:bidi="ar-SA"/>
              </w:rPr>
            </w:pPr>
            <w:r w:rsidRPr="0095194C">
              <w:rPr>
                <w:rFonts w:ascii="Arial Narrow" w:hAnsi="Arial Narrow" w:eastAsiaTheme="minorHAnsi" w:cstheme="minorBidi"/>
                <w:b/>
                <w:bCs/>
                <w:color w:val="FFFFFF" w:themeColor="background1"/>
                <w:kern w:val="28"/>
                <w:sz w:val="22"/>
                <w:szCs w:val="22"/>
                <w:lang w:val="en-US" w:eastAsia="en-US" w:bidi="ar-SA"/>
              </w:rPr>
              <w:t>Future Agenda Items (</w:t>
            </w:r>
            <w:r w:rsidR="009B5678">
              <w:rPr>
                <w:rFonts w:ascii="Arial Narrow" w:hAnsi="Arial Narrow" w:eastAsiaTheme="minorHAnsi" w:cstheme="minorBidi"/>
                <w:b/>
                <w:bCs/>
                <w:color w:val="FFFFFF" w:themeColor="background1"/>
                <w:kern w:val="28"/>
                <w:sz w:val="22"/>
                <w:szCs w:val="22"/>
                <w:lang w:val="en-US" w:eastAsia="en-US" w:bidi="ar-SA"/>
              </w:rPr>
              <w:t>12:00</w:t>
            </w:r>
            <w:r w:rsidRPr="0095194C">
              <w:rPr>
                <w:rFonts w:ascii="Arial Narrow" w:hAnsi="Arial Narrow" w:eastAsiaTheme="minorHAnsi" w:cstheme="minorBidi"/>
                <w:b/>
                <w:bCs/>
                <w:color w:val="FFFFFF" w:themeColor="background1"/>
                <w:kern w:val="28"/>
                <w:sz w:val="22"/>
                <w:szCs w:val="22"/>
                <w:lang w:val="en-US" w:eastAsia="en-US" w:bidi="ar-SA"/>
              </w:rPr>
              <w:t>)</w:t>
            </w:r>
          </w:p>
        </w:tc>
      </w:tr>
      <w:tr w:rsidTr="009D7613">
        <w:tblPrEx>
          <w:tblW w:w="0" w:type="auto"/>
          <w:tblInd w:w="0" w:type="dxa"/>
          <w:tblLayout w:type="fixed"/>
          <w:tblCellMar>
            <w:top w:w="43" w:type="dxa"/>
            <w:left w:w="115" w:type="dxa"/>
            <w:bottom w:w="0"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spacing w:after="0" w:line="240" w:lineRule="auto"/>
              <w:rPr>
                <w:rStyle w:val="DefaultParagraphFont"/>
                <w:rFonts w:ascii="Arial Narrow" w:eastAsia="Times New Roman" w:hAnsi="Arial Narrow" w:cs="Times New Roman"/>
                <w:b/>
                <w:bCs/>
                <w:sz w:val="18"/>
                <w:szCs w:val="16"/>
                <w:lang w:val="en-US" w:eastAsia="en-US" w:bidi="ar-SA"/>
              </w:rPr>
            </w:pPr>
            <w:r>
              <w:rPr>
                <w:rFonts w:ascii="Arial Narrow" w:eastAsia="Times New Roman" w:hAnsi="Arial Narrow" w:cs="Times New Roman"/>
                <w:b/>
                <w:bCs/>
                <w:sz w:val="18"/>
                <w:szCs w:val="16"/>
                <w:lang w:val="en-US" w:eastAsia="en-US" w:bidi="ar-SA"/>
              </w:rPr>
              <w:t>Continue Interest Identification. Stakeholders are encouraged to provide interests in the April and May meetings.</w:t>
            </w:r>
          </w:p>
        </w:tc>
      </w:tr>
    </w:tbl>
    <w:p w:rsidR="003C3320" w:rsidP="003C3320">
      <w:pPr>
        <w:pStyle w:val="NoListBody"/>
        <w:ind w:left="0"/>
      </w:pPr>
    </w:p>
    <w:tbl>
      <w:tblPr>
        <w:tblStyle w:val="GridTable3Accent5"/>
        <w:tblStyleRowBandSize w:val="1"/>
        <w:tblStyleColBandSiz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1350"/>
        <w:gridCol w:w="834"/>
        <w:gridCol w:w="3756"/>
        <w:gridCol w:w="1816"/>
        <w:gridCol w:w="1529"/>
      </w:tblGrid>
      <w:tr w:rsidTr="00D060CC">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9"/>
        </w:trPr>
        <w:tc>
          <w:tcPr>
            <w:tcW w:w="5940"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DF1112" w:rsidRPr="003C3320" w:rsidP="00DF1112">
            <w:pPr>
              <w:pStyle w:val="PrimaryHeading"/>
              <w:keepNext/>
              <w:shd w:val="clear" w:color="auto" w:fill="00B0F0" w:themeFill="accent3"/>
              <w:spacing w:after="0" w:line="240" w:lineRule="auto"/>
              <w:jc w:val="left"/>
              <w:outlineLvl w:val="0"/>
              <w:rPr>
                <w:rStyle w:val="DefaultParagraphFont"/>
                <w:rFonts w:ascii="Arial Narrow" w:hAnsi="Arial Narrow" w:eastAsiaTheme="minorHAnsi" w:cstheme="minorBidi"/>
                <w:b/>
                <w:bCs/>
                <w:i w:val="0"/>
                <w:iCs/>
                <w:color w:val="FFFFFF" w:themeColor="background1"/>
                <w:kern w:val="28"/>
                <w:sz w:val="22"/>
                <w:szCs w:val="22"/>
                <w:lang w:val="en-US" w:eastAsia="en-US" w:bidi="ar-SA"/>
              </w:rPr>
            </w:pPr>
            <w:r w:rsidRPr="00DF1112">
              <w:rPr>
                <w:rFonts w:ascii="Arial Narrow" w:hAnsi="Arial Narrow" w:eastAsiaTheme="minorHAnsi" w:cstheme="minorBidi"/>
                <w:b/>
                <w:bCs/>
                <w:i w:val="0"/>
                <w:iCs w:val="0"/>
                <w:color w:val="FFFFFF" w:themeColor="background1"/>
                <w:kern w:val="28"/>
                <w:sz w:val="22"/>
                <w:szCs w:val="22"/>
                <w:lang w:val="en-US" w:eastAsia="en-US" w:bidi="ar-SA"/>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71006"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rFonts w:ascii="Arial Narrow" w:eastAsia="Times New Roman" w:hAnsi="Arial Narrow" w:cs="Times New Roman"/>
                <w:b/>
                <w:bCs/>
                <w:color w:val="FFFFFF" w:themeColor="background1"/>
                <w:sz w:val="19"/>
                <w:szCs w:val="19"/>
                <w:lang w:val="en-US" w:eastAsia="en-US" w:bidi="ar-SA"/>
              </w:rPr>
              <w:t>Materials Due</w:t>
            </w:r>
            <w:r>
              <w:rPr>
                <w:rFonts w:ascii="Arial Narrow" w:eastAsia="Times New Roman" w:hAnsi="Arial Narrow" w:cs="Times New Roman"/>
                <w:b/>
                <w:bCs/>
                <w:color w:val="FFFFFF" w:themeColor="background1"/>
                <w:sz w:val="19"/>
                <w:szCs w:val="19"/>
                <w:lang w:val="en-US" w:eastAsia="en-US" w:bidi="ar-SA"/>
              </w:rPr>
              <w:br/>
            </w:r>
            <w:r w:rsidRPr="00DA23DE">
              <w:rPr>
                <w:rFonts w:ascii="Arial Narrow" w:eastAsia="Times New Roman" w:hAnsi="Arial Narrow" w:cs="Times New Roman"/>
                <w:b/>
                <w:bCs/>
                <w:color w:val="FFFFFF" w:themeColor="background1"/>
                <w:sz w:val="19"/>
                <w:szCs w:val="19"/>
                <w:lang w:val="en-US" w:eastAsia="en-US" w:bidi="ar-SA"/>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insideH w:val="nil"/>
            </w:tcBorders>
            <w:shd w:val="clear" w:color="auto" w:fill="013366" w:themeFill="accent1"/>
            <w:vAlign w:val="center"/>
          </w:tcPr>
          <w:p w:rsidR="00DF1112" w:rsidRPr="00DA23DE" w:rsidP="00D060CC">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DA23DE">
              <w:rPr>
                <w:rFonts w:ascii="Arial Narrow" w:eastAsia="Times New Roman" w:hAnsi="Arial Narrow" w:cs="Times New Roman"/>
                <w:b/>
                <w:bCs/>
                <w:color w:val="FFFFFF" w:themeColor="background1"/>
                <w:sz w:val="19"/>
                <w:szCs w:val="19"/>
                <w:lang w:val="en-US" w:eastAsia="en-US" w:bidi="ar-SA"/>
              </w:rPr>
              <w:t>Materials Published</w:t>
            </w:r>
          </w:p>
        </w:tc>
      </w:tr>
      <w:tr w:rsidTr="000E2E48">
        <w:tblPrEx>
          <w:tblW w:w="0" w:type="auto"/>
          <w:tblInd w:w="0" w:type="dxa"/>
          <w:tblCellMar>
            <w:top w:w="0" w:type="dxa"/>
            <w:left w:w="108" w:type="dxa"/>
            <w:bottom w:w="0" w:type="dxa"/>
            <w:right w:w="108" w:type="dxa"/>
          </w:tblCellMar>
          <w:tblLook w:val="04A0"/>
        </w:tblPrEx>
        <w:trPr>
          <w:trHeight w:val="296"/>
        </w:trPr>
        <w:tc>
          <w:tcPr>
            <w:tcW w:w="1350"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DF1112" w:rsidRPr="00BB6921" w:rsidP="00D060CC">
            <w:pPr>
              <w:pStyle w:val="DisclaimerHeading"/>
              <w:spacing w:after="0" w:line="240" w:lineRule="auto"/>
              <w:jc w:val="left"/>
              <w:rPr>
                <w:rStyle w:val="DefaultParagraphFont"/>
                <w:rFonts w:ascii="Arial Narrow" w:eastAsia="Times New Roman" w:hAnsi="Arial Narrow" w:cs="Times New Roman"/>
                <w:b/>
                <w:i w:val="0"/>
                <w:iCs/>
                <w:color w:val="auto"/>
                <w:sz w:val="19"/>
                <w:szCs w:val="19"/>
                <w:lang w:val="en-US" w:eastAsia="en-US" w:bidi="ar-SA"/>
              </w:rPr>
            </w:pPr>
            <w:r w:rsidRPr="00BB6921">
              <w:rPr>
                <w:rFonts w:ascii="Arial Narrow" w:eastAsia="Times New Roman" w:hAnsi="Arial Narrow" w:cs="Times New Roman"/>
                <w:b/>
                <w:i w:val="0"/>
                <w:iCs/>
                <w:color w:val="auto"/>
                <w:sz w:val="19"/>
                <w:szCs w:val="19"/>
                <w:lang w:val="en-US" w:eastAsia="en-US" w:bidi="ar-SA"/>
              </w:rPr>
              <w:t>Date</w:t>
            </w:r>
          </w:p>
        </w:tc>
        <w:tc>
          <w:tcPr>
            <w:tcW w:w="8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spacing w:after="0" w:line="240" w:lineRule="auto"/>
              <w:jc w:val="center"/>
              <w:rPr>
                <w:rStyle w:val="DefaultParagraphFont"/>
                <w:rFonts w:ascii="Arial Narrow" w:eastAsia="Times New Roman" w:hAnsi="Arial Narrow" w:cs="Times New Roman"/>
                <w:b/>
                <w:color w:val="auto"/>
                <w:sz w:val="19"/>
                <w:szCs w:val="19"/>
                <w:lang w:val="en-US" w:eastAsia="en-US" w:bidi="ar-SA"/>
              </w:rPr>
            </w:pPr>
            <w:r w:rsidRPr="00BB6921">
              <w:rPr>
                <w:rFonts w:ascii="Arial Narrow" w:eastAsia="Times New Roman" w:hAnsi="Arial Narrow" w:cs="Times New Roman"/>
                <w:b/>
                <w:color w:val="auto"/>
                <w:sz w:val="19"/>
                <w:szCs w:val="19"/>
                <w:lang w:val="en-US" w:eastAsia="en-US" w:bidi="ar-SA"/>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spacing w:after="0" w:line="240" w:lineRule="auto"/>
              <w:jc w:val="center"/>
              <w:rPr>
                <w:rStyle w:val="DefaultParagraphFont"/>
                <w:rFonts w:ascii="Arial Narrow" w:eastAsia="Times New Roman" w:hAnsi="Arial Narrow" w:cs="Times New Roman"/>
                <w:b/>
                <w:color w:val="FFFFFF" w:themeColor="background1"/>
                <w:sz w:val="19"/>
                <w:szCs w:val="19"/>
                <w:lang w:val="en-US" w:eastAsia="en-US" w:bidi="ar-SA"/>
              </w:rPr>
            </w:pPr>
          </w:p>
        </w:tc>
      </w:tr>
      <w:tr w:rsidTr="000E2E48">
        <w:tblPrEx>
          <w:tblW w:w="0" w:type="auto"/>
          <w:tblInd w:w="0" w:type="dxa"/>
          <w:tblCellMar>
            <w:top w:w="0" w:type="dxa"/>
            <w:left w:w="108" w:type="dxa"/>
            <w:bottom w:w="0" w:type="dxa"/>
            <w:right w:w="108" w:type="dxa"/>
          </w:tblCellMar>
          <w:tblLook w:val="04A0"/>
        </w:tblPrEx>
        <w:trPr>
          <w:trHeight w:val="331"/>
        </w:trPr>
        <w:tc>
          <w:tcPr>
            <w:tcW w:w="1350" w:type="dxa"/>
            <w:tcBorders>
              <w:top w:val="single" w:sz="4" w:space="0" w:color="auto"/>
              <w:left w:val="nil"/>
              <w:bottom w:val="single" w:sz="4" w:space="0" w:color="auto"/>
              <w:right w:val="single" w:sz="4" w:space="0" w:color="auto"/>
              <w:insideV w:val="nil"/>
            </w:tcBorders>
            <w:shd w:val="clear" w:color="auto" w:fill="E1F6FF"/>
          </w:tcPr>
          <w:p w:rsidR="00DF1112" w:rsidRPr="00BB6921" w:rsidP="009B5678">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May 24, 2022</w:t>
            </w:r>
          </w:p>
        </w:tc>
        <w:tc>
          <w:tcPr>
            <w:tcW w:w="834" w:type="dxa"/>
            <w:tcBorders>
              <w:top w:val="single" w:sz="4" w:space="0" w:color="auto"/>
              <w:left w:val="single" w:sz="4" w:space="0" w:color="auto"/>
              <w:bottom w:val="single" w:sz="4" w:space="0" w:color="auto"/>
              <w:right w:val="single" w:sz="8" w:space="0" w:color="auto"/>
            </w:tcBorders>
          </w:tcPr>
          <w:p w:rsidR="00DF1112" w:rsidRPr="00C10A93" w:rsidP="009B5678">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 a.m.</w:t>
            </w:r>
          </w:p>
        </w:tc>
        <w:tc>
          <w:tcPr>
            <w:tcW w:w="3756" w:type="dxa"/>
            <w:tcBorders>
              <w:top w:val="single" w:sz="4" w:space="0" w:color="auto"/>
              <w:left w:val="single" w:sz="8" w:space="0" w:color="auto"/>
              <w:bottom w:val="single" w:sz="4" w:space="0" w:color="auto"/>
              <w:right w:val="single" w:sz="8" w:space="0" w:color="auto"/>
            </w:tcBorders>
          </w:tcPr>
          <w:p w:rsidR="00DF1112" w:rsidRPr="00C10A93" w:rsidP="009B5678">
            <w:pPr>
              <w:pStyle w:val="AttendeesList"/>
              <w:spacing w:before="40" w:after="40" w:line="220" w:lineRule="exact"/>
              <w:jc w:val="center"/>
              <w:rPr>
                <w:rStyle w:val="DefaultParagraphFont"/>
                <w:rFonts w:ascii="Arial Narrow" w:eastAsia="Times New Roman" w:hAnsi="Arial Narrow" w:cs="Times New Roman"/>
                <w:sz w:val="18"/>
                <w:szCs w:val="18"/>
                <w:lang w:val="en-US" w:eastAsia="en-US" w:bidi="ar-SA"/>
              </w:rPr>
            </w:pPr>
            <w:r>
              <w:rPr>
                <w:rFonts w:ascii="Arial Narrow" w:eastAsia="Times New Roman" w:hAnsi="Arial Narrow" w:cs="Times New Roman"/>
                <w:sz w:val="18"/>
                <w:szCs w:val="18"/>
                <w:lang w:val="en-US" w:eastAsia="en-US" w:bidi="ar-SA"/>
              </w:rPr>
              <w:t>TBD</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B5678">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May 19, 2022</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B5678">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May 16, 2022</w:t>
            </w:r>
          </w:p>
        </w:tc>
      </w:tr>
      <w:tr w:rsidTr="000E2E48">
        <w:tblPrEx>
          <w:tblW w:w="0" w:type="auto"/>
          <w:tblInd w:w="0" w:type="dxa"/>
          <w:tblCellMar>
            <w:top w:w="0" w:type="dxa"/>
            <w:left w:w="108" w:type="dxa"/>
            <w:bottom w:w="0" w:type="dxa"/>
            <w:right w:w="108" w:type="dxa"/>
          </w:tblCellMar>
          <w:tblLook w:val="04A0"/>
        </w:tblPrEx>
        <w:trPr>
          <w:trHeight w:val="331"/>
        </w:trPr>
        <w:tc>
          <w:tcPr>
            <w:tcW w:w="1350" w:type="dxa"/>
            <w:tcBorders>
              <w:top w:val="single" w:sz="4" w:space="0" w:color="auto"/>
              <w:left w:val="nil"/>
              <w:bottom w:val="single" w:sz="4" w:space="0" w:color="auto"/>
              <w:right w:val="single" w:sz="4" w:space="0" w:color="auto"/>
              <w:insideV w:val="nil"/>
            </w:tcBorders>
            <w:shd w:val="clear" w:color="auto" w:fill="E1F6FF"/>
          </w:tcPr>
          <w:p w:rsidR="00DF1112" w:rsidRPr="00BB6921" w:rsidP="009B5678">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June 28, 2022</w:t>
            </w:r>
          </w:p>
        </w:tc>
        <w:tc>
          <w:tcPr>
            <w:tcW w:w="834"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DF1112" w:rsidRPr="00C10A93" w:rsidP="009B5678">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 a.m.</w:t>
            </w:r>
          </w:p>
        </w:tc>
        <w:tc>
          <w:tcPr>
            <w:tcW w:w="3756"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DF1112" w:rsidRPr="00C10A93" w:rsidP="009B5678">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TBD</w:t>
            </w:r>
          </w:p>
        </w:tc>
        <w:tc>
          <w:tcPr>
            <w:tcW w:w="181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F1112" w:rsidRPr="00C10A93" w:rsidP="009B5678">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June 20, 2022</w:t>
            </w:r>
          </w:p>
        </w:tc>
        <w:tc>
          <w:tcPr>
            <w:tcW w:w="1529"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DF1112" w:rsidRPr="00C10A93" w:rsidP="009B5678">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June 23, 2022</w:t>
            </w:r>
          </w:p>
        </w:tc>
      </w:tr>
      <w:tr w:rsidTr="000E2E48">
        <w:tblPrEx>
          <w:tblW w:w="0" w:type="auto"/>
          <w:tblInd w:w="0" w:type="dxa"/>
          <w:tblCellMar>
            <w:top w:w="0" w:type="dxa"/>
            <w:left w:w="108" w:type="dxa"/>
            <w:bottom w:w="0" w:type="dxa"/>
            <w:right w:w="108" w:type="dxa"/>
          </w:tblCellMar>
          <w:tblLook w:val="04A0"/>
        </w:tblPrEx>
        <w:trPr>
          <w:trHeight w:val="331"/>
        </w:trPr>
        <w:tc>
          <w:tcPr>
            <w:tcW w:w="1350" w:type="dxa"/>
            <w:tcBorders>
              <w:top w:val="single" w:sz="4" w:space="0" w:color="auto"/>
              <w:left w:val="nil"/>
              <w:bottom w:val="single" w:sz="4" w:space="0" w:color="auto"/>
              <w:right w:val="single" w:sz="4" w:space="0" w:color="auto"/>
              <w:insideV w:val="nil"/>
            </w:tcBorders>
            <w:shd w:val="clear" w:color="auto" w:fill="E1F6FF"/>
          </w:tcPr>
          <w:p w:rsidR="00643EA1" w:rsidP="00643EA1">
            <w:pPr>
              <w:pStyle w:val="DisclaimerHeading"/>
              <w:spacing w:before="40" w:after="40" w:line="220" w:lineRule="exact"/>
              <w:jc w:val="center"/>
              <w:rPr>
                <w:rStyle w:val="DefaultParagraphFont"/>
                <w:rFonts w:ascii="Arial Narrow" w:eastAsia="Times New Roman" w:hAnsi="Arial Narrow" w:cs="Times New Roman"/>
                <w:b w:val="0"/>
                <w:i/>
                <w:iCs/>
                <w:color w:val="auto"/>
                <w:sz w:val="18"/>
                <w:szCs w:val="18"/>
                <w:lang w:val="en-US" w:eastAsia="en-US" w:bidi="ar-SA"/>
              </w:rPr>
            </w:pPr>
            <w:r w:rsidRPr="00643EA1">
              <w:rPr>
                <w:rFonts w:ascii="Arial Narrow" w:eastAsia="Times New Roman" w:hAnsi="Arial Narrow" w:cs="Times New Roman"/>
                <w:b w:val="0"/>
                <w:i w:val="0"/>
                <w:iCs/>
                <w:color w:val="auto"/>
                <w:sz w:val="18"/>
                <w:szCs w:val="18"/>
                <w:lang w:val="en-US" w:eastAsia="en-US" w:bidi="ar-SA"/>
              </w:rPr>
              <w:t>July 26, 2022</w:t>
            </w:r>
          </w:p>
        </w:tc>
        <w:tc>
          <w:tcPr>
            <w:tcW w:w="834" w:type="dxa"/>
            <w:tcBorders>
              <w:top w:val="single" w:sz="4" w:space="0" w:color="auto"/>
              <w:left w:val="single" w:sz="4" w:space="0" w:color="auto"/>
              <w:bottom w:val="single" w:sz="4" w:space="0" w:color="auto"/>
              <w:right w:val="single" w:sz="8" w:space="0" w:color="auto"/>
            </w:tcBorders>
          </w:tcPr>
          <w:p w:rsidR="00643EA1" w:rsidRPr="00C10A93" w:rsidP="00643EA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9:00 a.m.</w:t>
            </w:r>
          </w:p>
        </w:tc>
        <w:tc>
          <w:tcPr>
            <w:tcW w:w="3756" w:type="dxa"/>
            <w:tcBorders>
              <w:top w:val="single" w:sz="4" w:space="0" w:color="auto"/>
              <w:left w:val="single" w:sz="8" w:space="0" w:color="auto"/>
              <w:bottom w:val="single" w:sz="4" w:space="0" w:color="auto"/>
              <w:right w:val="single" w:sz="8" w:space="0" w:color="auto"/>
            </w:tcBorders>
          </w:tcPr>
          <w:p w:rsidR="00643EA1" w:rsidRPr="00C10A93" w:rsidP="00643EA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TBD</w:t>
            </w:r>
          </w:p>
        </w:tc>
        <w:tc>
          <w:tcPr>
            <w:tcW w:w="1816" w:type="dxa"/>
            <w:tcBorders>
              <w:top w:val="single" w:sz="4" w:space="0" w:color="auto"/>
              <w:left w:val="single" w:sz="4" w:space="0" w:color="auto"/>
              <w:bottom w:val="single" w:sz="4" w:space="0" w:color="auto"/>
              <w:right w:val="single" w:sz="4" w:space="0" w:color="auto"/>
            </w:tcBorders>
          </w:tcPr>
          <w:p w:rsidR="00643EA1" w:rsidP="00643EA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July 18, 2022</w:t>
            </w:r>
          </w:p>
        </w:tc>
        <w:tc>
          <w:tcPr>
            <w:tcW w:w="1529" w:type="dxa"/>
            <w:tcBorders>
              <w:top w:val="single" w:sz="4" w:space="0" w:color="auto"/>
              <w:left w:val="single" w:sz="4" w:space="0" w:color="auto"/>
              <w:bottom w:val="single" w:sz="4" w:space="0" w:color="auto"/>
              <w:right w:val="single" w:sz="4" w:space="0" w:color="auto"/>
            </w:tcBorders>
          </w:tcPr>
          <w:p w:rsidR="00643EA1" w:rsidP="00643EA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July 21, 2022</w:t>
            </w:r>
          </w:p>
        </w:tc>
      </w:tr>
      <w:tr w:rsidTr="000E2E48">
        <w:tblPrEx>
          <w:tblW w:w="0" w:type="auto"/>
          <w:tblInd w:w="0" w:type="dxa"/>
          <w:tblCellMar>
            <w:top w:w="0" w:type="dxa"/>
            <w:left w:w="108" w:type="dxa"/>
            <w:bottom w:w="0" w:type="dxa"/>
            <w:right w:w="108" w:type="dxa"/>
          </w:tblCellMar>
          <w:tblLook w:val="04A0"/>
        </w:tblPrEx>
        <w:trPr>
          <w:trHeight w:val="331"/>
        </w:trPr>
        <w:tc>
          <w:tcPr>
            <w:tcW w:w="1350" w:type="dxa"/>
            <w:tcBorders>
              <w:top w:val="single" w:sz="4" w:space="0" w:color="auto"/>
              <w:left w:val="nil"/>
              <w:bottom w:val="single" w:sz="4" w:space="0" w:color="auto"/>
              <w:right w:val="single" w:sz="4" w:space="0" w:color="auto"/>
              <w:insideV w:val="nil"/>
            </w:tcBorders>
            <w:shd w:val="clear" w:color="auto" w:fill="E1F6FF"/>
          </w:tcPr>
          <w:p w:rsidR="000E2E48" w:rsidRPr="00643EA1" w:rsidP="00643EA1">
            <w:pPr>
              <w:pStyle w:val="DisclaimerHeading"/>
              <w:spacing w:before="40" w:after="40" w:line="220" w:lineRule="exact"/>
              <w:jc w:val="center"/>
              <w:rPr>
                <w:rStyle w:val="DefaultParagraphFont"/>
                <w:rFonts w:ascii="Arial Narrow" w:eastAsia="Times New Roman" w:hAnsi="Arial Narrow" w:cs="Times New Roman"/>
                <w:b w:val="0"/>
                <w:i w:val="0"/>
                <w:iCs/>
                <w:color w:val="auto"/>
                <w:sz w:val="18"/>
                <w:szCs w:val="18"/>
                <w:lang w:val="en-US" w:eastAsia="en-US" w:bidi="ar-SA"/>
              </w:rPr>
            </w:pPr>
            <w:r>
              <w:rPr>
                <w:rFonts w:ascii="Arial Narrow" w:eastAsia="Times New Roman" w:hAnsi="Arial Narrow" w:cs="Times New Roman"/>
                <w:b w:val="0"/>
                <w:i w:val="0"/>
                <w:iCs/>
                <w:color w:val="auto"/>
                <w:sz w:val="18"/>
                <w:szCs w:val="18"/>
                <w:lang w:val="en-US" w:eastAsia="en-US" w:bidi="ar-SA"/>
              </w:rPr>
              <w:t>August 17</w:t>
            </w:r>
            <w:r>
              <w:rPr>
                <w:rFonts w:ascii="Arial Narrow" w:eastAsia="Times New Roman" w:hAnsi="Arial Narrow" w:cs="Times New Roman"/>
                <w:b w:val="0"/>
                <w:i w:val="0"/>
                <w:iCs/>
                <w:color w:val="auto"/>
                <w:sz w:val="18"/>
                <w:szCs w:val="18"/>
                <w:lang w:val="en-US" w:eastAsia="en-US" w:bidi="ar-SA"/>
              </w:rPr>
              <w:t>, 2022</w:t>
            </w:r>
          </w:p>
        </w:tc>
        <w:tc>
          <w:tcPr>
            <w:tcW w:w="834"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0E2E48" w:rsidP="005E739C">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w:t>
            </w:r>
            <w:r>
              <w:rPr>
                <w:rFonts w:ascii="Arial Narrow" w:eastAsia="Times New Roman" w:hAnsi="Arial Narrow" w:cs="Times New Roman"/>
                <w:b w:val="0"/>
                <w:color w:val="auto"/>
                <w:sz w:val="18"/>
                <w:szCs w:val="18"/>
                <w:lang w:val="en-US" w:eastAsia="en-US" w:bidi="ar-SA"/>
              </w:rPr>
              <w:t xml:space="preserve">:00 </w:t>
            </w:r>
            <w:r>
              <w:rPr>
                <w:rFonts w:ascii="Arial Narrow" w:eastAsia="Times New Roman" w:hAnsi="Arial Narrow" w:cs="Times New Roman"/>
                <w:b w:val="0"/>
                <w:color w:val="auto"/>
                <w:sz w:val="18"/>
                <w:szCs w:val="18"/>
                <w:lang w:val="en-US" w:eastAsia="en-US" w:bidi="ar-SA"/>
              </w:rPr>
              <w:t>p</w:t>
            </w:r>
            <w:r>
              <w:rPr>
                <w:rFonts w:ascii="Arial Narrow" w:eastAsia="Times New Roman" w:hAnsi="Arial Narrow" w:cs="Times New Roman"/>
                <w:b w:val="0"/>
                <w:color w:val="auto"/>
                <w:sz w:val="18"/>
                <w:szCs w:val="18"/>
                <w:lang w:val="en-US" w:eastAsia="en-US" w:bidi="ar-SA"/>
              </w:rPr>
              <w:t>.m.</w:t>
            </w:r>
          </w:p>
        </w:tc>
        <w:tc>
          <w:tcPr>
            <w:tcW w:w="3756"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0E2E48" w:rsidP="00643EA1">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TBD</w:t>
            </w:r>
          </w:p>
        </w:tc>
        <w:tc>
          <w:tcPr>
            <w:tcW w:w="1816"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E2E48" w:rsidP="005E739C">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 xml:space="preserve">August </w:t>
            </w:r>
            <w:r w:rsidR="005E739C">
              <w:rPr>
                <w:rFonts w:ascii="Arial Narrow" w:eastAsia="Times New Roman" w:hAnsi="Arial Narrow" w:cs="Times New Roman"/>
                <w:b w:val="0"/>
                <w:color w:val="auto"/>
                <w:sz w:val="18"/>
                <w:szCs w:val="18"/>
                <w:lang w:val="en-US" w:eastAsia="en-US" w:bidi="ar-SA"/>
              </w:rPr>
              <w:t>9</w:t>
            </w:r>
            <w:r>
              <w:rPr>
                <w:rFonts w:ascii="Arial Narrow" w:eastAsia="Times New Roman" w:hAnsi="Arial Narrow" w:cs="Times New Roman"/>
                <w:b w:val="0"/>
                <w:color w:val="auto"/>
                <w:sz w:val="18"/>
                <w:szCs w:val="18"/>
                <w:lang w:val="en-US" w:eastAsia="en-US" w:bidi="ar-SA"/>
              </w:rPr>
              <w:t>, 2022</w:t>
            </w:r>
          </w:p>
        </w:tc>
        <w:tc>
          <w:tcPr>
            <w:tcW w:w="1529"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0E2E48" w:rsidP="005E739C">
            <w:pPr>
              <w:pStyle w:val="DisclaimerHeading"/>
              <w:spacing w:before="40" w:after="40" w:line="220" w:lineRule="exact"/>
              <w:jc w:val="center"/>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 xml:space="preserve">August </w:t>
            </w:r>
            <w:r w:rsidR="005E739C">
              <w:rPr>
                <w:rFonts w:ascii="Arial Narrow" w:eastAsia="Times New Roman" w:hAnsi="Arial Narrow" w:cs="Times New Roman"/>
                <w:b w:val="0"/>
                <w:color w:val="auto"/>
                <w:sz w:val="18"/>
                <w:szCs w:val="18"/>
                <w:lang w:val="en-US" w:eastAsia="en-US" w:bidi="ar-SA"/>
              </w:rPr>
              <w:t>12</w:t>
            </w:r>
            <w:r>
              <w:rPr>
                <w:rFonts w:ascii="Arial Narrow" w:eastAsia="Times New Roman" w:hAnsi="Arial Narrow" w:cs="Times New Roman"/>
                <w:b w:val="0"/>
                <w:color w:val="auto"/>
                <w:sz w:val="18"/>
                <w:szCs w:val="18"/>
                <w:lang w:val="en-US" w:eastAsia="en-US" w:bidi="ar-SA"/>
              </w:rPr>
              <w:t>, 2022</w:t>
            </w:r>
          </w:p>
        </w:tc>
      </w:tr>
    </w:tbl>
    <w:p w:rsidR="003C3320" w:rsidP="003C3320">
      <w:pPr>
        <w:pStyle w:val="DisclaimerBodyCopy"/>
      </w:pPr>
    </w:p>
    <w:p w:rsidR="003C3320" w:rsidP="003C3320">
      <w:pPr>
        <w:pStyle w:val="DisclaimerBodyCopy"/>
      </w:pPr>
    </w:p>
    <w:p w:rsidR="00B62597" w:rsidP="00337321">
      <w:pPr>
        <w:pStyle w:val="Author"/>
      </w:pPr>
      <w:r>
        <w:t xml:space="preserve">Author: </w:t>
      </w:r>
      <w:r w:rsidR="009B5678">
        <w:t>Amanda Martin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02920"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1670"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16F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018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1F4B09">
      <w:t>April 21</w:t>
    </w:r>
    <w:r w:rsidR="00A56D57">
      <w:t xml:space="preserv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2C41925"/>
    <w:multiLevelType w:val="hybridMultilevel"/>
    <w:tmpl w:val="A19AFEF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10057"/>
    <w:rsid w:val="000232DF"/>
    <w:rsid w:val="00027F49"/>
    <w:rsid w:val="000333FF"/>
    <w:rsid w:val="0006798D"/>
    <w:rsid w:val="00073BE2"/>
    <w:rsid w:val="00092135"/>
    <w:rsid w:val="000C4A81"/>
    <w:rsid w:val="000E2E48"/>
    <w:rsid w:val="00117AF9"/>
    <w:rsid w:val="00121F58"/>
    <w:rsid w:val="001678E8"/>
    <w:rsid w:val="00170E02"/>
    <w:rsid w:val="001B2242"/>
    <w:rsid w:val="001C0CC0"/>
    <w:rsid w:val="001D3B68"/>
    <w:rsid w:val="001D49A0"/>
    <w:rsid w:val="001F4B09"/>
    <w:rsid w:val="002113BD"/>
    <w:rsid w:val="0025139E"/>
    <w:rsid w:val="002B2F98"/>
    <w:rsid w:val="002C6057"/>
    <w:rsid w:val="00305238"/>
    <w:rsid w:val="003251CE"/>
    <w:rsid w:val="00337321"/>
    <w:rsid w:val="00394850"/>
    <w:rsid w:val="003B55E1"/>
    <w:rsid w:val="003C17E2"/>
    <w:rsid w:val="003C3320"/>
    <w:rsid w:val="003D7E5C"/>
    <w:rsid w:val="003E7A73"/>
    <w:rsid w:val="004216F5"/>
    <w:rsid w:val="0046043F"/>
    <w:rsid w:val="00491490"/>
    <w:rsid w:val="00494494"/>
    <w:rsid w:val="004969FA"/>
    <w:rsid w:val="00527104"/>
    <w:rsid w:val="00533252"/>
    <w:rsid w:val="00552E7F"/>
    <w:rsid w:val="00564DEE"/>
    <w:rsid w:val="0057441E"/>
    <w:rsid w:val="005A5D0D"/>
    <w:rsid w:val="005C72D4"/>
    <w:rsid w:val="005D6D05"/>
    <w:rsid w:val="005E739C"/>
    <w:rsid w:val="006024A0"/>
    <w:rsid w:val="00602967"/>
    <w:rsid w:val="00606F11"/>
    <w:rsid w:val="00643EA1"/>
    <w:rsid w:val="006C738F"/>
    <w:rsid w:val="006F7A52"/>
    <w:rsid w:val="00711249"/>
    <w:rsid w:val="00712CAA"/>
    <w:rsid w:val="00716A8B"/>
    <w:rsid w:val="00730F76"/>
    <w:rsid w:val="00744A45"/>
    <w:rsid w:val="00754C6D"/>
    <w:rsid w:val="00755096"/>
    <w:rsid w:val="007703B4"/>
    <w:rsid w:val="007A34A3"/>
    <w:rsid w:val="007A49E1"/>
    <w:rsid w:val="007C2954"/>
    <w:rsid w:val="007D4F70"/>
    <w:rsid w:val="007E7CAB"/>
    <w:rsid w:val="00837B12"/>
    <w:rsid w:val="00841282"/>
    <w:rsid w:val="008552A3"/>
    <w:rsid w:val="00865232"/>
    <w:rsid w:val="00882652"/>
    <w:rsid w:val="008B6705"/>
    <w:rsid w:val="00906F8B"/>
    <w:rsid w:val="00917386"/>
    <w:rsid w:val="0095194C"/>
    <w:rsid w:val="00991528"/>
    <w:rsid w:val="009A5430"/>
    <w:rsid w:val="009B5678"/>
    <w:rsid w:val="009C15C4"/>
    <w:rsid w:val="009D7613"/>
    <w:rsid w:val="009F53F9"/>
    <w:rsid w:val="00A05391"/>
    <w:rsid w:val="00A317A9"/>
    <w:rsid w:val="00A41149"/>
    <w:rsid w:val="00A56D57"/>
    <w:rsid w:val="00AC2247"/>
    <w:rsid w:val="00B16D95"/>
    <w:rsid w:val="00B20316"/>
    <w:rsid w:val="00B34E3C"/>
    <w:rsid w:val="00B62597"/>
    <w:rsid w:val="00BA6146"/>
    <w:rsid w:val="00BB531B"/>
    <w:rsid w:val="00BB6921"/>
    <w:rsid w:val="00BF331B"/>
    <w:rsid w:val="00BF6BDB"/>
    <w:rsid w:val="00C10A93"/>
    <w:rsid w:val="00C439EC"/>
    <w:rsid w:val="00C5307B"/>
    <w:rsid w:val="00C72168"/>
    <w:rsid w:val="00C757F4"/>
    <w:rsid w:val="00C75A9D"/>
    <w:rsid w:val="00CA02DB"/>
    <w:rsid w:val="00CA49B9"/>
    <w:rsid w:val="00CA7061"/>
    <w:rsid w:val="00CB19DE"/>
    <w:rsid w:val="00CB475B"/>
    <w:rsid w:val="00CC1B47"/>
    <w:rsid w:val="00CC3DF3"/>
    <w:rsid w:val="00CF6ECF"/>
    <w:rsid w:val="00D060CC"/>
    <w:rsid w:val="00D06EC8"/>
    <w:rsid w:val="00D136EA"/>
    <w:rsid w:val="00D251ED"/>
    <w:rsid w:val="00D831E4"/>
    <w:rsid w:val="00D95949"/>
    <w:rsid w:val="00DA23DE"/>
    <w:rsid w:val="00DB29E9"/>
    <w:rsid w:val="00DE34CF"/>
    <w:rsid w:val="00DF1112"/>
    <w:rsid w:val="00E1605D"/>
    <w:rsid w:val="00E32B6B"/>
    <w:rsid w:val="00E5387A"/>
    <w:rsid w:val="00E55E84"/>
    <w:rsid w:val="00EB68B0"/>
    <w:rsid w:val="00F4190F"/>
    <w:rsid w:val="00F5077C"/>
    <w:rsid w:val="00F84AA6"/>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2022-04-22T12:27:27Z</dcterms:created>
  <dcterms:modified xsi:type="dcterms:W3CDTF">2022-04-22T12:27:27Z</dcterms:modified>
</cp:coreProperties>
</file>