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Clean Attribute Procurement Senior Task Force</w:t>
      </w:r>
    </w:p>
    <w:p w:rsidR="00B62597" w:rsidRPr="00B62597" w:rsidP="00755096">
      <w:pPr>
        <w:pStyle w:val="MeetingDetails"/>
      </w:pPr>
      <w:r>
        <w:t>PJM Conference and Training Center</w:t>
      </w:r>
      <w:r w:rsidR="003B1139">
        <w:t xml:space="preserve"> / Teleconference</w:t>
      </w:r>
    </w:p>
    <w:p w:rsidR="00B62597" w:rsidRPr="00B62597" w:rsidP="00755096">
      <w:pPr>
        <w:pStyle w:val="MeetingDetails"/>
      </w:pPr>
      <w:r>
        <w:t>June 3</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B1139">
        <w:t>9</w:t>
      </w:r>
      <w:r w:rsidRPr="00527104">
        <w:t>:00</w:t>
      </w:r>
      <w:r w:rsidR="003B1139">
        <w:t xml:space="preserve"> </w:t>
      </w:r>
      <w:r w:rsidRPr="00527104">
        <w:t>-</w:t>
      </w:r>
      <w:r w:rsidR="003B1139">
        <w:t xml:space="preserve"> 9</w:t>
      </w:r>
      <w:r w:rsidRPr="00527104">
        <w:t>:</w:t>
      </w:r>
      <w:r w:rsidR="00311A1E">
        <w:t>30</w:t>
      </w:r>
      <w:r w:rsidRPr="00527104">
        <w:t>)</w:t>
      </w:r>
    </w:p>
    <w:bookmarkEnd w:id="1"/>
    <w:bookmarkEnd w:id="2"/>
    <w:p w:rsidR="002C6057" w:rsidRPr="002C6057" w:rsidP="002C6057">
      <w:pPr>
        <w:pStyle w:val="SecondaryHeading-Numbered"/>
        <w:rPr>
          <w:b w:val="0"/>
        </w:rPr>
      </w:pPr>
      <w:r>
        <w:rPr>
          <w:b w:val="0"/>
        </w:rPr>
        <w:t xml:space="preserve">Scott Baker, Facilitator, and </w:t>
      </w:r>
      <w:r w:rsidR="00AC6E51">
        <w:rPr>
          <w:b w:val="0"/>
        </w:rPr>
        <w:t>Christopher Callaghan</w:t>
      </w:r>
      <w:r>
        <w:rPr>
          <w:b w:val="0"/>
        </w:rPr>
        <w:t>, Secretary, will welcome participants to the first meeting of the CAPSTF and review the meeting participation guidelines.</w:t>
      </w:r>
    </w:p>
    <w:p w:rsidR="00B62597" w:rsidRPr="00917386" w:rsidP="00917386">
      <w:pPr>
        <w:pStyle w:val="SecondaryHeading-Numbered"/>
        <w:rPr>
          <w:b w:val="0"/>
        </w:rPr>
      </w:pPr>
      <w:r>
        <w:rPr>
          <w:b w:val="0"/>
        </w:rPr>
        <w:t>Scott Baker will review the key work activities in the approved Issue Charge and Charter, and will also review an initial draft work plan for consideration</w:t>
      </w:r>
      <w:r w:rsidR="005823AE">
        <w:rPr>
          <w:b w:val="0"/>
        </w:rPr>
        <w:t>,</w:t>
      </w:r>
      <w:r>
        <w:rPr>
          <w:b w:val="0"/>
        </w:rPr>
        <w:t xml:space="preserve"> and </w:t>
      </w:r>
      <w:r w:rsidR="005823AE">
        <w:rPr>
          <w:b w:val="0"/>
        </w:rPr>
        <w:t>review the ground rules for this stakeholder group</w:t>
      </w:r>
      <w:r>
        <w:rPr>
          <w:b w:val="0"/>
        </w:rPr>
        <w:t>.</w:t>
      </w:r>
    </w:p>
    <w:p w:rsidR="001D3B68" w:rsidRPr="00DB29E9" w:rsidP="007C2954">
      <w:pPr>
        <w:pStyle w:val="PrimaryHeading"/>
      </w:pPr>
      <w:r>
        <w:t>Education</w:t>
      </w:r>
      <w:r>
        <w:t xml:space="preserve"> (</w:t>
      </w:r>
      <w:r w:rsidR="005823AE">
        <w:t>9</w:t>
      </w:r>
      <w:r>
        <w:t>:</w:t>
      </w:r>
      <w:r w:rsidR="00311A1E">
        <w:t>30</w:t>
      </w:r>
      <w:r w:rsidR="005823AE">
        <w:t xml:space="preserve"> </w:t>
      </w:r>
      <w:r>
        <w:t>-</w:t>
      </w:r>
      <w:r w:rsidR="005823AE">
        <w:t xml:space="preserve"> 11</w:t>
      </w:r>
      <w:r>
        <w:t>:</w:t>
      </w:r>
      <w:r w:rsidR="005823AE">
        <w:t>30</w:t>
      </w:r>
      <w:r>
        <w:t>)</w:t>
      </w:r>
    </w:p>
    <w:p w:rsidR="00B62597" w:rsidP="00917386">
      <w:pPr>
        <w:pStyle w:val="SecondaryHeading-Numbered"/>
        <w:rPr>
          <w:b w:val="0"/>
        </w:rPr>
      </w:pPr>
      <w:r>
        <w:rPr>
          <w:b w:val="0"/>
        </w:rPr>
        <w:t>Greg Carmean, OPSI</w:t>
      </w:r>
      <w:r w:rsidR="005823AE">
        <w:rPr>
          <w:b w:val="0"/>
        </w:rPr>
        <w:t>,</w:t>
      </w:r>
      <w:r>
        <w:rPr>
          <w:b w:val="0"/>
        </w:rPr>
        <w:t xml:space="preserve"> will introduce </w:t>
      </w:r>
      <w:r w:rsidR="00DB31A9">
        <w:rPr>
          <w:b w:val="0"/>
        </w:rPr>
        <w:t xml:space="preserve">initial education and perspectives from </w:t>
      </w:r>
      <w:r>
        <w:rPr>
          <w:b w:val="0"/>
        </w:rPr>
        <w:t>the OPSI Clean Policy Achievement Staff Working Group.</w:t>
      </w:r>
    </w:p>
    <w:p w:rsidR="00BC1EAE" w:rsidRPr="005823AE" w:rsidP="005823AE">
      <w:pPr>
        <w:pStyle w:val="SecondaryHeading-Numbered"/>
        <w:rPr>
          <w:b w:val="0"/>
        </w:rPr>
      </w:pPr>
      <w:r>
        <w:rPr>
          <w:b w:val="0"/>
        </w:rPr>
        <w:t xml:space="preserve">Ken Schuyler, PJM, </w:t>
      </w:r>
      <w:r w:rsidR="00273624">
        <w:rPr>
          <w:b w:val="0"/>
        </w:rPr>
        <w:t xml:space="preserve">provide </w:t>
      </w:r>
      <w:r>
        <w:rPr>
          <w:b w:val="0"/>
        </w:rPr>
        <w:t xml:space="preserve">background and </w:t>
      </w:r>
      <w:r w:rsidR="00273624">
        <w:rPr>
          <w:b w:val="0"/>
        </w:rPr>
        <w:t>e</w:t>
      </w:r>
      <w:r>
        <w:rPr>
          <w:b w:val="0"/>
        </w:rPr>
        <w:t xml:space="preserve">ducation on </w:t>
      </w:r>
      <w:r w:rsidRPr="005823AE">
        <w:rPr>
          <w:b w:val="0"/>
        </w:rPr>
        <w:t>PJM-EIS Generation Attribute Tracking System (GATS) and previous initiatives to develop new products or services in response to state policy objectives</w:t>
      </w:r>
      <w:r w:rsidR="00377BEB">
        <w:rPr>
          <w:b w:val="0"/>
        </w:rPr>
        <w:t>.</w:t>
      </w:r>
    </w:p>
    <w:p w:rsidR="00BC1EAE" w:rsidRPr="00917386" w:rsidP="00367B55">
      <w:pPr>
        <w:pStyle w:val="ListSubhead1"/>
      </w:pPr>
      <w:r>
        <w:rPr>
          <w:b w:val="0"/>
        </w:rPr>
        <w:t>Walter G</w:t>
      </w:r>
      <w:r w:rsidR="00377BEB">
        <w:rPr>
          <w:b w:val="0"/>
        </w:rPr>
        <w:t>raf</w:t>
      </w:r>
      <w:r>
        <w:rPr>
          <w:b w:val="0"/>
        </w:rPr>
        <w:t>, PJM,</w:t>
      </w:r>
      <w:r w:rsidR="00DB31A9">
        <w:rPr>
          <w:b w:val="0"/>
        </w:rPr>
        <w:t xml:space="preserve"> will lead a </w:t>
      </w:r>
      <w:r w:rsidR="005823AE">
        <w:rPr>
          <w:b w:val="0"/>
        </w:rPr>
        <w:t xml:space="preserve">group </w:t>
      </w:r>
      <w:r w:rsidR="00DB31A9">
        <w:rPr>
          <w:b w:val="0"/>
        </w:rPr>
        <w:t xml:space="preserve">discussion </w:t>
      </w:r>
      <w:r>
        <w:rPr>
          <w:b w:val="0"/>
        </w:rPr>
        <w:t xml:space="preserve">on the question </w:t>
      </w:r>
      <w:r w:rsidRPr="003723E4">
        <w:rPr>
          <w:b w:val="0"/>
        </w:rPr>
        <w:t>“</w:t>
      </w:r>
      <w:r w:rsidRPr="003723E4" w:rsidR="00367B55">
        <w:rPr>
          <w:b w:val="0"/>
        </w:rPr>
        <w:t>What is a clean attribute?</w:t>
      </w:r>
      <w:r w:rsidRPr="003723E4">
        <w:rPr>
          <w:b w:val="0"/>
        </w:rPr>
        <w:t>”</w:t>
      </w:r>
      <w:r w:rsidR="00367B55">
        <w:t xml:space="preserve"> </w:t>
      </w:r>
    </w:p>
    <w:p w:rsidR="001D3B68" w:rsidP="007C2954">
      <w:pPr>
        <w:pStyle w:val="PrimaryHeading"/>
      </w:pPr>
      <w:r>
        <w:t xml:space="preserve">CBIR Process </w:t>
      </w:r>
      <w:r>
        <w:t>(</w:t>
      </w:r>
      <w:r w:rsidR="005823AE">
        <w:t>11</w:t>
      </w:r>
      <w:r>
        <w:t>:</w:t>
      </w:r>
      <w:r w:rsidR="005823AE">
        <w:t>3</w:t>
      </w:r>
      <w:r>
        <w:t>0</w:t>
      </w:r>
      <w:r w:rsidR="005823AE">
        <w:t xml:space="preserve"> </w:t>
      </w:r>
      <w:r>
        <w:t>-</w:t>
      </w:r>
      <w:r w:rsidR="005823AE">
        <w:t xml:space="preserve"> 11</w:t>
      </w:r>
      <w:r>
        <w:t>:</w:t>
      </w:r>
      <w:r w:rsidR="005823AE">
        <w:t>5</w:t>
      </w:r>
      <w:r>
        <w:t>0</w:t>
      </w:r>
      <w:r w:rsidRPr="00DB29E9">
        <w:t>)</w:t>
      </w:r>
    </w:p>
    <w:p w:rsidR="005823AE" w:rsidP="001B2242">
      <w:pPr>
        <w:pStyle w:val="SecondaryHeading-Numbered"/>
        <w:rPr>
          <w:b w:val="0"/>
        </w:rPr>
      </w:pPr>
      <w:r>
        <w:rPr>
          <w:b w:val="0"/>
        </w:rPr>
        <w:t>Scott Baker</w:t>
      </w:r>
      <w:r w:rsidR="003723E4">
        <w:rPr>
          <w:b w:val="0"/>
        </w:rPr>
        <w:t>, PJM,</w:t>
      </w:r>
      <w:r>
        <w:rPr>
          <w:b w:val="0"/>
        </w:rPr>
        <w:t xml:space="preserve"> will provide a brief overview of the Consensus Based Issue Resolution process.</w:t>
      </w:r>
      <w:r w:rsidR="00311A1E">
        <w:rPr>
          <w:b w:val="0"/>
        </w:rPr>
        <w:t xml:space="preserve"> </w:t>
      </w:r>
    </w:p>
    <w:p w:rsidR="001B2242" w:rsidRPr="005823AE" w:rsidP="005823AE">
      <w:pPr>
        <w:pStyle w:val="SecondaryHeading-Numbered"/>
        <w:rPr>
          <w:b w:val="0"/>
        </w:rPr>
      </w:pPr>
      <w:r>
        <w:rPr>
          <w:b w:val="0"/>
        </w:rPr>
        <w:t>Scott Baker</w:t>
      </w:r>
      <w:r w:rsidR="003723E4">
        <w:rPr>
          <w:b w:val="0"/>
        </w:rPr>
        <w:t>, PJM,</w:t>
      </w:r>
      <w:r>
        <w:rPr>
          <w:b w:val="0"/>
        </w:rPr>
        <w:t xml:space="preserve"> will </w:t>
      </w:r>
      <w:r w:rsidR="005823AE">
        <w:rPr>
          <w:b w:val="0"/>
        </w:rPr>
        <w:t>solicit</w:t>
      </w:r>
      <w:r>
        <w:rPr>
          <w:b w:val="0"/>
        </w:rPr>
        <w:t xml:space="preserve"> stakeholder interests regarding </w:t>
      </w:r>
      <w:r w:rsidR="005823AE">
        <w:rPr>
          <w:b w:val="0"/>
        </w:rPr>
        <w:t xml:space="preserve">the </w:t>
      </w:r>
      <w:r>
        <w:rPr>
          <w:b w:val="0"/>
        </w:rPr>
        <w:t>development of a framewo</w:t>
      </w:r>
      <w:r w:rsidR="005823AE">
        <w:rPr>
          <w:b w:val="0"/>
        </w:rPr>
        <w:t>rk for procuring clean resource attributes</w:t>
      </w:r>
      <w:r>
        <w:rPr>
          <w:b w:val="0"/>
        </w:rPr>
        <w:t>.</w:t>
      </w:r>
      <w:r w:rsidR="00311A1E">
        <w:rPr>
          <w:b w:val="0"/>
        </w:rPr>
        <w:t xml:space="preserve"> </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5823AE">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Pr>
                <w:rFonts w:ascii="Arial Narrow" w:hAnsi="Arial Narrow" w:eastAsiaTheme="minorHAnsi" w:cstheme="minorBidi"/>
                <w:b/>
                <w:bCs/>
                <w:color w:val="FFFFFF" w:themeColor="background1"/>
                <w:kern w:val="28"/>
                <w:sz w:val="22"/>
                <w:szCs w:val="22"/>
                <w:lang w:val="en-US" w:eastAsia="en-US" w:bidi="ar-SA"/>
              </w:rPr>
              <w:t xml:space="preserve">Wrap up – Action Items and </w:t>
            </w:r>
            <w:r w:rsidRPr="0095194C">
              <w:rPr>
                <w:rFonts w:ascii="Arial Narrow" w:hAnsi="Arial Narrow" w:eastAsiaTheme="minorHAnsi" w:cstheme="minorBidi"/>
                <w:b/>
                <w:bCs/>
                <w:color w:val="FFFFFF" w:themeColor="background1"/>
                <w:kern w:val="28"/>
                <w:sz w:val="22"/>
                <w:szCs w:val="22"/>
                <w:lang w:val="en-US" w:eastAsia="en-US" w:bidi="ar-SA"/>
              </w:rPr>
              <w:t xml:space="preserve">Future Agenda </w:t>
            </w:r>
            <w:r>
              <w:rPr>
                <w:rFonts w:ascii="Arial Narrow" w:hAnsi="Arial Narrow" w:eastAsiaTheme="minorHAnsi" w:cstheme="minorBidi"/>
                <w:b/>
                <w:bCs/>
                <w:color w:val="FFFFFF" w:themeColor="background1"/>
                <w:kern w:val="28"/>
                <w:sz w:val="22"/>
                <w:szCs w:val="22"/>
                <w:lang w:val="en-US" w:eastAsia="en-US" w:bidi="ar-SA"/>
              </w:rPr>
              <w:t>Topics</w:t>
            </w:r>
            <w:r w:rsidRPr="0095194C">
              <w:rPr>
                <w:rFonts w:ascii="Arial Narrow" w:hAnsi="Arial Narrow" w:eastAsiaTheme="minorHAnsi" w:cstheme="minorBidi"/>
                <w:b/>
                <w:bCs/>
                <w:color w:val="FFFFFF" w:themeColor="background1"/>
                <w:kern w:val="28"/>
                <w:sz w:val="22"/>
                <w:szCs w:val="22"/>
                <w:lang w:val="en-US" w:eastAsia="en-US" w:bidi="ar-SA"/>
              </w:rPr>
              <w:t xml:space="preserve"> (</w:t>
            </w:r>
            <w:r>
              <w:rPr>
                <w:rFonts w:ascii="Arial Narrow" w:hAnsi="Arial Narrow" w:eastAsiaTheme="minorHAnsi" w:cstheme="minorBidi"/>
                <w:b/>
                <w:bCs/>
                <w:color w:val="FFFFFF" w:themeColor="background1"/>
                <w:kern w:val="28"/>
                <w:sz w:val="22"/>
                <w:szCs w:val="22"/>
                <w:lang w:val="en-US" w:eastAsia="en-US" w:bidi="ar-SA"/>
              </w:rPr>
              <w:t>11:50 – 12:</w:t>
            </w:r>
            <w:r w:rsidRPr="0095194C">
              <w:rPr>
                <w:rFonts w:ascii="Arial Narrow" w:hAnsi="Arial Narrow" w:eastAsiaTheme="minorHAnsi" w:cstheme="minorBidi"/>
                <w:b/>
                <w:bCs/>
                <w:color w:val="FFFFFF" w:themeColor="background1"/>
                <w:kern w:val="28"/>
                <w:sz w:val="22"/>
                <w:szCs w:val="22"/>
                <w:lang w:val="en-US" w:eastAsia="en-US" w:bidi="ar-SA"/>
              </w:rPr>
              <w:t>00)</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numPr>
                <w:numId w:val="11"/>
              </w:numPr>
              <w:tabs>
                <w:tab w:val="left" w:pos="0"/>
              </w:tabs>
              <w:spacing w:after="120" w:line="240" w:lineRule="auto"/>
              <w:ind w:left="360" w:hanging="360"/>
              <w:rPr>
                <w:rStyle w:val="DefaultParagraphFont"/>
                <w:rFonts w:ascii="Arial Narrow" w:eastAsia="Times New Roman" w:hAnsi="Arial Narrow" w:cs="Times New Roman"/>
                <w:b/>
                <w:bCs/>
                <w:sz w:val="24"/>
                <w:szCs w:val="22"/>
                <w:lang w:val="en-US" w:eastAsia="en-US" w:bidi="ar-SA"/>
              </w:rPr>
            </w:pPr>
            <w:r>
              <w:rPr>
                <w:rFonts w:ascii="Arial Narrow" w:eastAsia="Times New Roman" w:hAnsi="Arial Narrow" w:cs="Times New Roman"/>
                <w:b/>
                <w:bCs/>
                <w:sz w:val="24"/>
                <w:szCs w:val="22"/>
                <w:lang w:val="en-US" w:eastAsia="en-US" w:bidi="ar-SA"/>
              </w:rPr>
              <w:t xml:space="preserve">The facilitation team will </w:t>
            </w:r>
            <w:r w:rsidRPr="0094026E">
              <w:rPr>
                <w:rFonts w:ascii="Arial Narrow" w:eastAsia="Times New Roman" w:hAnsi="Arial Narrow" w:cs="Times New Roman"/>
                <w:b/>
                <w:bCs/>
                <w:sz w:val="24"/>
                <w:szCs w:val="22"/>
                <w:lang w:val="en-US" w:eastAsia="en-US" w:bidi="ar-SA"/>
              </w:rPr>
              <w:t>review action items from the meeting and take requests for future agenda items.</w:t>
            </w:r>
          </w:p>
        </w:tc>
      </w:tr>
    </w:tbl>
    <w:p w:rsidR="003C3320" w:rsidP="003C3320">
      <w:pPr>
        <w:pStyle w:val="NoListBody"/>
        <w:ind w:left="0"/>
      </w:pP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201"/>
        <w:gridCol w:w="983"/>
        <w:gridCol w:w="3756"/>
        <w:gridCol w:w="1816"/>
        <w:gridCol w:w="1529"/>
      </w:tblGrid>
      <w:tr w:rsidTr="00D060C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05820"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D060CC">
        <w:tblPrEx>
          <w:tblW w:w="0" w:type="auto"/>
          <w:tblInd w:w="0" w:type="dxa"/>
          <w:tblCellMar>
            <w:top w:w="0" w:type="dxa"/>
            <w:left w:w="108" w:type="dxa"/>
            <w:bottom w:w="0" w:type="dxa"/>
            <w:right w:w="108" w:type="dxa"/>
          </w:tblCellMar>
          <w:tblLook w:val="04A0"/>
        </w:tblPrEx>
        <w:trPr>
          <w:trHeight w:val="296"/>
        </w:trPr>
        <w:tc>
          <w:tcPr>
            <w:tcW w:w="1201"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D060CC">
        <w:tblPrEx>
          <w:tblW w:w="0" w:type="auto"/>
          <w:tblInd w:w="0" w:type="dxa"/>
          <w:tblCellMar>
            <w:top w:w="0" w:type="dxa"/>
            <w:left w:w="108" w:type="dxa"/>
            <w:bottom w:w="0" w:type="dxa"/>
            <w:right w:w="108" w:type="dxa"/>
          </w:tblCellMar>
          <w:tblLook w:val="04A0"/>
        </w:tblPrEx>
        <w:trPr>
          <w:trHeight w:val="331"/>
        </w:trPr>
        <w:tc>
          <w:tcPr>
            <w:tcW w:w="1201" w:type="dxa"/>
            <w:tcBorders>
              <w:top w:val="single" w:sz="6" w:space="0" w:color="FFFFFF" w:themeColor="background1"/>
              <w:left w:val="nil"/>
              <w:bottom w:val="single" w:sz="4" w:space="0" w:color="auto"/>
              <w:right w:val="single" w:sz="4" w:space="0" w:color="auto"/>
              <w:insideV w:val="nil"/>
            </w:tcBorders>
            <w:shd w:val="clear" w:color="auto" w:fill="E1F6FF"/>
          </w:tcPr>
          <w:p w:rsidR="00DF1112" w:rsidRPr="00BB6921" w:rsidP="00D060CC">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June 28, 2022</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9:00-12:00</w:t>
            </w:r>
          </w:p>
        </w:tc>
        <w:tc>
          <w:tcPr>
            <w:tcW w:w="3756" w:type="dxa"/>
            <w:tcBorders>
              <w:top w:val="single" w:sz="6" w:space="0" w:color="FFFFFF" w:themeColor="background1"/>
              <w:left w:val="single" w:sz="8" w:space="0" w:color="auto"/>
              <w:bottom w:val="single" w:sz="4" w:space="0" w:color="auto"/>
              <w:right w:val="single" w:sz="8" w:space="0" w:color="auto"/>
            </w:tcBorders>
          </w:tcPr>
          <w:p w:rsidR="00E058A0" w:rsidRPr="00E058A0" w:rsidP="00E058A0">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E058A0">
              <w:rPr>
                <w:rFonts w:ascii="Arial Narrow" w:eastAsia="Times New Roman" w:hAnsi="Arial Narrow" w:cs="Times New Roman"/>
                <w:sz w:val="18"/>
                <w:szCs w:val="18"/>
                <w:lang w:val="en-US" w:eastAsia="en-US" w:bidi="ar-SA"/>
              </w:rPr>
              <w:t>PJM Conference &amp; Training Center and</w:t>
            </w:r>
          </w:p>
          <w:p w:rsidR="00DF1112" w:rsidRPr="00C10A93" w:rsidP="00E058A0">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E058A0">
              <w:rPr>
                <w:rFonts w:ascii="Arial Narrow" w:eastAsia="Times New Roman" w:hAnsi="Arial Narrow" w:cs="Times New Roman"/>
                <w:sz w:val="18"/>
                <w:szCs w:val="18"/>
                <w:lang w:val="en-US" w:eastAsia="en-US" w:bidi="ar-SA"/>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20. 2022</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23, 2022</w:t>
            </w:r>
          </w:p>
        </w:tc>
      </w:tr>
      <w:tr w:rsidTr="00D060CC">
        <w:tblPrEx>
          <w:tblW w:w="0" w:type="auto"/>
          <w:tblInd w:w="0" w:type="dxa"/>
          <w:tblCellMar>
            <w:top w:w="0" w:type="dxa"/>
            <w:left w:w="108" w:type="dxa"/>
            <w:bottom w:w="0" w:type="dxa"/>
            <w:right w:w="108" w:type="dxa"/>
          </w:tblCellMar>
          <w:tblLook w:val="04A0"/>
        </w:tblPrEx>
        <w:trPr>
          <w:trHeight w:val="331"/>
        </w:trPr>
        <w:tc>
          <w:tcPr>
            <w:tcW w:w="1201" w:type="dxa"/>
            <w:tcBorders>
              <w:top w:val="single" w:sz="4" w:space="0" w:color="auto"/>
              <w:left w:val="nil"/>
              <w:bottom w:val="single" w:sz="4" w:space="0" w:color="auto"/>
              <w:right w:val="single" w:sz="4" w:space="0" w:color="auto"/>
              <w:insideV w:val="nil"/>
            </w:tcBorders>
            <w:shd w:val="clear" w:color="auto" w:fill="E1F6FF"/>
          </w:tcPr>
          <w:p w:rsidR="00DF1112" w:rsidRPr="00BB6921" w:rsidP="00D060CC">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July 28, 2022</w:t>
            </w:r>
          </w:p>
        </w:tc>
        <w:tc>
          <w:tcPr>
            <w:tcW w:w="983"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DF1112" w:rsidRPr="00C10A93" w:rsidP="00D060CC">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9:00-2:00</w:t>
            </w:r>
          </w:p>
        </w:tc>
        <w:tc>
          <w:tcPr>
            <w:tcW w:w="3756"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E058A0" w:rsidRPr="00E058A0" w:rsidP="00E058A0">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E058A0">
              <w:rPr>
                <w:rFonts w:ascii="Arial Narrow" w:eastAsia="Times New Roman" w:hAnsi="Arial Narrow" w:cs="Times New Roman"/>
                <w:sz w:val="18"/>
                <w:szCs w:val="18"/>
                <w:lang w:val="en-US" w:eastAsia="en-US" w:bidi="ar-SA"/>
              </w:rPr>
              <w:t>PJM Conference &amp; Training Center and</w:t>
            </w:r>
          </w:p>
          <w:p w:rsidR="00DF1112" w:rsidRPr="00C10A93" w:rsidP="00E058A0">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E058A0">
              <w:rPr>
                <w:rFonts w:ascii="Arial Narrow" w:eastAsia="Times New Roman" w:hAnsi="Arial Narrow" w:cs="Times New Roman"/>
                <w:sz w:val="18"/>
                <w:szCs w:val="18"/>
                <w:lang w:val="en-US" w:eastAsia="en-US" w:bidi="ar-SA"/>
              </w:rPr>
              <w:t>WebEx</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July 20, 2022</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D060C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July 25,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12252"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3145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72E8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6873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B1139">
      <w:t xml:space="preserve">May </w:t>
    </w:r>
    <w:r w:rsidR="001656D4">
      <w:t>31</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232DF"/>
    <w:rsid w:val="00027F49"/>
    <w:rsid w:val="000333FF"/>
    <w:rsid w:val="0006798D"/>
    <w:rsid w:val="00092135"/>
    <w:rsid w:val="00117AF9"/>
    <w:rsid w:val="00121F58"/>
    <w:rsid w:val="001656D4"/>
    <w:rsid w:val="001678E8"/>
    <w:rsid w:val="00170E02"/>
    <w:rsid w:val="0019220B"/>
    <w:rsid w:val="001B2242"/>
    <w:rsid w:val="001C0CC0"/>
    <w:rsid w:val="001D3B68"/>
    <w:rsid w:val="002113BD"/>
    <w:rsid w:val="0025139E"/>
    <w:rsid w:val="00273624"/>
    <w:rsid w:val="002B2F98"/>
    <w:rsid w:val="002C6057"/>
    <w:rsid w:val="00305238"/>
    <w:rsid w:val="00311A1E"/>
    <w:rsid w:val="00311C21"/>
    <w:rsid w:val="003251CE"/>
    <w:rsid w:val="00337321"/>
    <w:rsid w:val="00367B55"/>
    <w:rsid w:val="003723E4"/>
    <w:rsid w:val="00377BEB"/>
    <w:rsid w:val="003812C6"/>
    <w:rsid w:val="00394850"/>
    <w:rsid w:val="003B1139"/>
    <w:rsid w:val="003B55E1"/>
    <w:rsid w:val="003C17E2"/>
    <w:rsid w:val="003C3320"/>
    <w:rsid w:val="003D7E5C"/>
    <w:rsid w:val="003E7A73"/>
    <w:rsid w:val="0046043F"/>
    <w:rsid w:val="00491490"/>
    <w:rsid w:val="00494494"/>
    <w:rsid w:val="004969FA"/>
    <w:rsid w:val="00527104"/>
    <w:rsid w:val="00564DEE"/>
    <w:rsid w:val="0057441E"/>
    <w:rsid w:val="005823AE"/>
    <w:rsid w:val="005A5D0D"/>
    <w:rsid w:val="005D6D05"/>
    <w:rsid w:val="006024A0"/>
    <w:rsid w:val="00602967"/>
    <w:rsid w:val="00606F11"/>
    <w:rsid w:val="006C738F"/>
    <w:rsid w:val="006F7A52"/>
    <w:rsid w:val="00711249"/>
    <w:rsid w:val="00712CAA"/>
    <w:rsid w:val="00716A8B"/>
    <w:rsid w:val="00730F76"/>
    <w:rsid w:val="00744A45"/>
    <w:rsid w:val="00754C6D"/>
    <w:rsid w:val="00755096"/>
    <w:rsid w:val="007703B4"/>
    <w:rsid w:val="007A34A3"/>
    <w:rsid w:val="007B7F07"/>
    <w:rsid w:val="007C2954"/>
    <w:rsid w:val="007D4F70"/>
    <w:rsid w:val="007E7CAB"/>
    <w:rsid w:val="00837B12"/>
    <w:rsid w:val="00841282"/>
    <w:rsid w:val="008552A3"/>
    <w:rsid w:val="00882652"/>
    <w:rsid w:val="008A2F14"/>
    <w:rsid w:val="00917386"/>
    <w:rsid w:val="0094026E"/>
    <w:rsid w:val="0095194C"/>
    <w:rsid w:val="00991528"/>
    <w:rsid w:val="009A5430"/>
    <w:rsid w:val="009B6428"/>
    <w:rsid w:val="009C15C4"/>
    <w:rsid w:val="009D2A2C"/>
    <w:rsid w:val="009F53F9"/>
    <w:rsid w:val="00A05391"/>
    <w:rsid w:val="00A317A9"/>
    <w:rsid w:val="00A41149"/>
    <w:rsid w:val="00A56D57"/>
    <w:rsid w:val="00AC2247"/>
    <w:rsid w:val="00AC6E51"/>
    <w:rsid w:val="00B16D95"/>
    <w:rsid w:val="00B20316"/>
    <w:rsid w:val="00B34E3C"/>
    <w:rsid w:val="00B62597"/>
    <w:rsid w:val="00B917F6"/>
    <w:rsid w:val="00BA6146"/>
    <w:rsid w:val="00BB531B"/>
    <w:rsid w:val="00BB6921"/>
    <w:rsid w:val="00BC1EAE"/>
    <w:rsid w:val="00BF331B"/>
    <w:rsid w:val="00C10A93"/>
    <w:rsid w:val="00C439EC"/>
    <w:rsid w:val="00C5307B"/>
    <w:rsid w:val="00C72168"/>
    <w:rsid w:val="00C72E8C"/>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B31A9"/>
    <w:rsid w:val="00DC0FD0"/>
    <w:rsid w:val="00DE34CF"/>
    <w:rsid w:val="00DF1112"/>
    <w:rsid w:val="00E058A0"/>
    <w:rsid w:val="00E1605D"/>
    <w:rsid w:val="00E32B6B"/>
    <w:rsid w:val="00E5387A"/>
    <w:rsid w:val="00E55E84"/>
    <w:rsid w:val="00EB68B0"/>
    <w:rsid w:val="00F4190F"/>
    <w:rsid w:val="00F5077C"/>
    <w:rsid w:val="00F71B1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(2)</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2022-05-31T21:02:20Z</dcterms:created>
  <dcterms:modified xsi:type="dcterms:W3CDTF">2022-05-31T21:02:20Z</dcterms:modified>
</cp:coreProperties>
</file>