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December 2</w:t>
      </w:r>
      <w:r w:rsidRPr="00E734EA">
        <w:rPr>
          <w:vertAlign w:val="superscript"/>
        </w:rPr>
        <w:t>nd</w:t>
      </w:r>
      <w:r w:rsidR="004516DD">
        <w:t>, 2022</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E734EA">
        <w:rPr>
          <w:b w:val="0"/>
        </w:rPr>
        <w:t>October</w:t>
      </w:r>
      <w:r w:rsidR="00E44E30">
        <w:rPr>
          <w:b w:val="0"/>
        </w:rPr>
        <w:t xml:space="preserve"> </w:t>
      </w:r>
      <w:r w:rsidR="00E734EA">
        <w:rPr>
          <w:b w:val="0"/>
        </w:rPr>
        <w:t>28</w:t>
      </w:r>
      <w:r w:rsidRPr="00307DF6" w:rsidR="00307DF6">
        <w:rPr>
          <w:b w:val="0"/>
          <w:vertAlign w:val="superscript"/>
        </w:rPr>
        <w:t>th</w:t>
      </w:r>
      <w:r w:rsidRPr="00150D46" w:rsidR="00D64AA8">
        <w:rPr>
          <w:b w:val="0"/>
        </w:rPr>
        <w:t>, 2022</w:t>
      </w:r>
      <w:r w:rsidRPr="00150D46">
        <w:rPr>
          <w:b w:val="0"/>
        </w:rPr>
        <w:t xml:space="preserve"> SOS Joint Meeting.</w:t>
      </w:r>
    </w:p>
    <w:p w:rsidR="00307DF6" w:rsidP="00307DF6">
      <w:pPr>
        <w:pStyle w:val="SecondaryHeading-Numbered"/>
        <w:numPr>
          <w:ilvl w:val="0"/>
          <w:numId w:val="14"/>
        </w:numPr>
        <w:rPr>
          <w:b w:val="0"/>
        </w:rPr>
      </w:pPr>
      <w:r>
        <w:rPr>
          <w:b w:val="0"/>
        </w:rPr>
        <w:t>Matthew Wharton</w:t>
      </w:r>
      <w:r w:rsidRPr="00307DF6">
        <w:rPr>
          <w:b w:val="0"/>
        </w:rPr>
        <w:t xml:space="preserve"> will perform a </w:t>
      </w:r>
      <w:r w:rsidR="00EE27DA">
        <w:rPr>
          <w:b w:val="0"/>
        </w:rPr>
        <w:t>second</w:t>
      </w:r>
      <w:r w:rsidRPr="00307DF6">
        <w:rPr>
          <w:b w:val="0"/>
        </w:rPr>
        <w:t xml:space="preserve"> read for the SOS Charter annual review</w:t>
      </w:r>
      <w:r>
        <w:rPr>
          <w:b w:val="0"/>
        </w:rPr>
        <w:t>.</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 xml:space="preserve">Donnie Bielak will provide an update of System Operations in </w:t>
      </w:r>
      <w:r w:rsidR="00F169C1">
        <w:rPr>
          <w:b w:val="0"/>
        </w:rPr>
        <w:t>November</w:t>
      </w:r>
      <w:r>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3277C4" w:rsidP="003277C4">
      <w:pPr>
        <w:pStyle w:val="PrimaryHeading"/>
      </w:pPr>
      <w:r>
        <w:t>Manual Updates (9:25-9:30)</w:t>
      </w:r>
    </w:p>
    <w:p w:rsidR="003277C4" w:rsidP="003277C4">
      <w:pPr>
        <w:pStyle w:val="ListSubhead1"/>
        <w:numPr>
          <w:ilvl w:val="0"/>
          <w:numId w:val="14"/>
        </w:numPr>
        <w:rPr>
          <w:b w:val="0"/>
        </w:rPr>
      </w:pPr>
      <w:r w:rsidRPr="00A04AD7">
        <w:rPr>
          <w:b w:val="0"/>
        </w:rPr>
        <w:t>Liem Hoang will perform a first read on cha</w:t>
      </w:r>
      <w:r>
        <w:rPr>
          <w:b w:val="0"/>
        </w:rPr>
        <w:t>nges associated with Manual-38 Rev 1</w:t>
      </w:r>
      <w:r w:rsidR="00AB76B6">
        <w:rPr>
          <w:b w:val="0"/>
        </w:rPr>
        <w:t>6</w:t>
      </w:r>
      <w:r>
        <w:rPr>
          <w:b w:val="0"/>
        </w:rPr>
        <w:t>.</w:t>
      </w:r>
    </w:p>
    <w:p w:rsidR="00500708" w:rsidP="00500708">
      <w:pPr>
        <w:pStyle w:val="PrimaryHeading"/>
      </w:pPr>
      <w:r>
        <w:t>Cold Weather Advisory Process &amp; Drill (9:30-9:40)</w:t>
      </w:r>
    </w:p>
    <w:p w:rsidR="0011361A" w:rsidP="0011361A">
      <w:pPr>
        <w:pStyle w:val="ListParagraph"/>
        <w:numPr>
          <w:ilvl w:val="0"/>
          <w:numId w:val="14"/>
        </w:numPr>
        <w:rPr>
          <w:rFonts w:ascii="Arial Narrow" w:eastAsia="Times New Roman" w:hAnsi="Arial Narrow" w:cs="Times New Roman"/>
          <w:sz w:val="24"/>
        </w:rPr>
      </w:pPr>
      <w:r w:rsidRPr="0011361A">
        <w:rPr>
          <w:rFonts w:ascii="Arial Narrow" w:eastAsia="Times New Roman" w:hAnsi="Arial Narrow" w:cs="Times New Roman"/>
          <w:sz w:val="24"/>
        </w:rPr>
        <w:t>Dan Bennett, PJM, will review the process for a Cold Weather Advisory, a new weather emergency added to M13 in October 2022, and introduce a drill planned to provide GOs experience with the process.</w:t>
      </w:r>
    </w:p>
    <w:p w:rsidR="00136A3D" w:rsidP="00136A3D">
      <w:pPr>
        <w:pStyle w:val="PrimaryHeading"/>
      </w:pPr>
      <w:r>
        <w:t>Synchronized Events Performance Review (9:40-9:55)</w:t>
      </w:r>
    </w:p>
    <w:p w:rsidR="00136A3D" w:rsidP="00DE12EE">
      <w:pPr>
        <w:pStyle w:val="ListParagraph"/>
        <w:numPr>
          <w:ilvl w:val="0"/>
          <w:numId w:val="14"/>
        </w:numPr>
        <w:rPr>
          <w:rFonts w:ascii="Arial Narrow" w:eastAsia="Times New Roman" w:hAnsi="Arial Narrow" w:cs="Times New Roman"/>
          <w:sz w:val="24"/>
        </w:rPr>
      </w:pPr>
      <w:r w:rsidRPr="00DE12EE">
        <w:rPr>
          <w:rFonts w:ascii="Arial Narrow" w:eastAsia="Times New Roman" w:hAnsi="Arial Narrow" w:cs="Times New Roman"/>
          <w:sz w:val="24"/>
        </w:rPr>
        <w:t>David Kimmel, will perform a review of the response performance of Synchronized Reserve events that have occurred after the implementa</w:t>
      </w:r>
      <w:r>
        <w:rPr>
          <w:rFonts w:ascii="Arial Narrow" w:eastAsia="Times New Roman" w:hAnsi="Arial Narrow" w:cs="Times New Roman"/>
          <w:sz w:val="24"/>
        </w:rPr>
        <w:t>tion of Reserve Price Formation</w:t>
      </w:r>
      <w:r>
        <w:rPr>
          <w:rFonts w:ascii="Arial Narrow" w:eastAsia="Times New Roman" w:hAnsi="Arial Narrow" w:cs="Times New Roman"/>
          <w:sz w:val="24"/>
        </w:rPr>
        <w:t xml:space="preserve">. </w:t>
      </w:r>
    </w:p>
    <w:p w:rsidR="00C93A03" w:rsidP="00C93A03">
      <w:pPr>
        <w:pStyle w:val="PrimaryHeading"/>
      </w:pPr>
      <w:r>
        <w:t>NERC Lessons Learned (9:55</w:t>
      </w:r>
      <w:r>
        <w:t>-</w:t>
      </w:r>
      <w:r>
        <w:t>10</w:t>
      </w:r>
      <w:r>
        <w:t>:</w:t>
      </w:r>
      <w:r>
        <w:t>00</w:t>
      </w:r>
      <w:r>
        <w:t>)</w:t>
      </w:r>
    </w:p>
    <w:p w:rsidR="00C93A03" w:rsidRPr="00C93A03" w:rsidP="00C93A03">
      <w:pPr>
        <w:pStyle w:val="ListParagraph"/>
        <w:numPr>
          <w:ilvl w:val="0"/>
          <w:numId w:val="14"/>
        </w:numPr>
        <w:rPr>
          <w:rFonts w:ascii="Arial Narrow" w:eastAsia="Times New Roman" w:hAnsi="Arial Narrow" w:cs="Times New Roman"/>
          <w:sz w:val="24"/>
        </w:rPr>
      </w:pPr>
      <w:r w:rsidRPr="00C93A03">
        <w:rPr>
          <w:rFonts w:ascii="Arial Narrow" w:eastAsia="Times New Roman" w:hAnsi="Arial Narrow" w:cs="Times New Roman"/>
          <w:sz w:val="24"/>
        </w:rPr>
        <w:t>Kevin Hatch will review recently</w:t>
      </w:r>
      <w:r>
        <w:rPr>
          <w:rFonts w:ascii="Arial Narrow" w:eastAsia="Times New Roman" w:hAnsi="Arial Narrow" w:cs="Times New Roman"/>
          <w:sz w:val="24"/>
        </w:rPr>
        <w:t xml:space="preserve"> publis</w:t>
      </w:r>
      <w:bookmarkStart w:id="2" w:name="_GoBack"/>
      <w:bookmarkEnd w:id="2"/>
      <w:r>
        <w:rPr>
          <w:rFonts w:ascii="Arial Narrow" w:eastAsia="Times New Roman" w:hAnsi="Arial Narrow" w:cs="Times New Roman"/>
          <w:sz w:val="24"/>
        </w:rPr>
        <w:t xml:space="preserve">hed NERC Lessons Learned. </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3"/>
        <w:gridCol w:w="2873"/>
        <w:gridCol w:w="2904"/>
      </w:tblGrid>
      <w:tr w:rsidTr="008E15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23" w:type="dxa"/>
            <w:vAlign w:val="center"/>
          </w:tcPr>
          <w:p w:rsidR="00F51237" w:rsidP="00F51237">
            <w:pPr>
              <w:pStyle w:val="AttendeesList"/>
            </w:pPr>
            <w:r>
              <w:t>TBD</w:t>
            </w:r>
          </w:p>
        </w:tc>
        <w:tc>
          <w:tcPr>
            <w:tcW w:w="2873" w:type="dxa"/>
            <w:vAlign w:val="center"/>
          </w:tcPr>
          <w:p w:rsidR="00F51237" w:rsidP="00F51237">
            <w:pPr>
              <w:pStyle w:val="AttendeesList"/>
            </w:pPr>
            <w:r>
              <w:t>TBD</w:t>
            </w:r>
          </w:p>
        </w:tc>
        <w:tc>
          <w:tcPr>
            <w:tcW w:w="2904" w:type="dxa"/>
            <w:vAlign w:val="center"/>
          </w:tcPr>
          <w:p w:rsidR="00F51237" w:rsidP="00F51237">
            <w:pPr>
              <w:pStyle w:val="AttendeesList"/>
            </w:pPr>
            <w:r>
              <w:t>WebEx</w:t>
            </w:r>
          </w:p>
        </w:tc>
      </w:tr>
    </w:tbl>
    <w:p w:rsidR="00824E94" w:rsidP="00337321">
      <w:pPr>
        <w:pStyle w:val="Author"/>
      </w:pPr>
    </w:p>
    <w:p w:rsidR="00B62597" w:rsidP="00337321">
      <w:pPr>
        <w:pStyle w:val="Author"/>
      </w:pPr>
      <w:r>
        <w:t xml:space="preserve">Author: </w:t>
      </w:r>
      <w:r w:rsidR="003277C4">
        <w:t>Matthew Wharton</w:t>
      </w:r>
    </w:p>
    <w:p w:rsidR="00A317A9" w:rsidP="00337321">
      <w:pPr>
        <w:pStyle w:val="Author"/>
      </w:pPr>
    </w:p>
    <w:p w:rsidR="004516DD"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3DC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B3DE1"/>
    <w:rsid w:val="000D026C"/>
    <w:rsid w:val="000D3265"/>
    <w:rsid w:val="000D78EF"/>
    <w:rsid w:val="000E5013"/>
    <w:rsid w:val="00110A29"/>
    <w:rsid w:val="0011361A"/>
    <w:rsid w:val="00136A3D"/>
    <w:rsid w:val="00150D46"/>
    <w:rsid w:val="001547F3"/>
    <w:rsid w:val="0016671D"/>
    <w:rsid w:val="001678E8"/>
    <w:rsid w:val="00170538"/>
    <w:rsid w:val="001A11DA"/>
    <w:rsid w:val="001B2242"/>
    <w:rsid w:val="001B46EA"/>
    <w:rsid w:val="001C0CC0"/>
    <w:rsid w:val="001C10B0"/>
    <w:rsid w:val="001D31A9"/>
    <w:rsid w:val="001D3B68"/>
    <w:rsid w:val="001E2141"/>
    <w:rsid w:val="001E6012"/>
    <w:rsid w:val="002113BD"/>
    <w:rsid w:val="002134FA"/>
    <w:rsid w:val="00224E4D"/>
    <w:rsid w:val="00242053"/>
    <w:rsid w:val="0025093C"/>
    <w:rsid w:val="0025139E"/>
    <w:rsid w:val="00251618"/>
    <w:rsid w:val="00277266"/>
    <w:rsid w:val="002866C8"/>
    <w:rsid w:val="00286CE6"/>
    <w:rsid w:val="00296DCD"/>
    <w:rsid w:val="002B2F98"/>
    <w:rsid w:val="002C39FD"/>
    <w:rsid w:val="002C6057"/>
    <w:rsid w:val="00305238"/>
    <w:rsid w:val="003079A7"/>
    <w:rsid w:val="00307DF6"/>
    <w:rsid w:val="003145E5"/>
    <w:rsid w:val="003251CE"/>
    <w:rsid w:val="003277C4"/>
    <w:rsid w:val="00337321"/>
    <w:rsid w:val="00351A19"/>
    <w:rsid w:val="00366772"/>
    <w:rsid w:val="0038444B"/>
    <w:rsid w:val="003A33FF"/>
    <w:rsid w:val="003B55E1"/>
    <w:rsid w:val="003C17E2"/>
    <w:rsid w:val="003C7D44"/>
    <w:rsid w:val="003D0205"/>
    <w:rsid w:val="003D7E5C"/>
    <w:rsid w:val="003E0189"/>
    <w:rsid w:val="003E7A73"/>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3ECB"/>
    <w:rsid w:val="004E7D59"/>
    <w:rsid w:val="004F6CEF"/>
    <w:rsid w:val="00500708"/>
    <w:rsid w:val="00502498"/>
    <w:rsid w:val="00514D42"/>
    <w:rsid w:val="00523EA7"/>
    <w:rsid w:val="00527104"/>
    <w:rsid w:val="005452F1"/>
    <w:rsid w:val="00546C52"/>
    <w:rsid w:val="00553357"/>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86CFB"/>
    <w:rsid w:val="006913A4"/>
    <w:rsid w:val="00692CD5"/>
    <w:rsid w:val="006A72F9"/>
    <w:rsid w:val="006B0CF6"/>
    <w:rsid w:val="006D0BAE"/>
    <w:rsid w:val="006E0B4E"/>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5405"/>
    <w:rsid w:val="0081374F"/>
    <w:rsid w:val="008145EE"/>
    <w:rsid w:val="00823DCB"/>
    <w:rsid w:val="00824E94"/>
    <w:rsid w:val="00837B12"/>
    <w:rsid w:val="00840E52"/>
    <w:rsid w:val="00841282"/>
    <w:rsid w:val="008436FE"/>
    <w:rsid w:val="008459C0"/>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91528"/>
    <w:rsid w:val="009950AB"/>
    <w:rsid w:val="009A006D"/>
    <w:rsid w:val="009A3DF5"/>
    <w:rsid w:val="009A5430"/>
    <w:rsid w:val="009A7EC0"/>
    <w:rsid w:val="009C15C4"/>
    <w:rsid w:val="009C75C5"/>
    <w:rsid w:val="009E4DC6"/>
    <w:rsid w:val="009F53F9"/>
    <w:rsid w:val="00A02196"/>
    <w:rsid w:val="00A031D0"/>
    <w:rsid w:val="00A04AD7"/>
    <w:rsid w:val="00A05391"/>
    <w:rsid w:val="00A26C03"/>
    <w:rsid w:val="00A317A9"/>
    <w:rsid w:val="00A36157"/>
    <w:rsid w:val="00A41149"/>
    <w:rsid w:val="00A44C9E"/>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1EA4"/>
    <w:rsid w:val="00B62597"/>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3A03"/>
    <w:rsid w:val="00C964AA"/>
    <w:rsid w:val="00CA49B9"/>
    <w:rsid w:val="00CA7B45"/>
    <w:rsid w:val="00CB19DE"/>
    <w:rsid w:val="00CB475B"/>
    <w:rsid w:val="00CC1B47"/>
    <w:rsid w:val="00CC5E7D"/>
    <w:rsid w:val="00CF3E1B"/>
    <w:rsid w:val="00CF4423"/>
    <w:rsid w:val="00D06EC8"/>
    <w:rsid w:val="00D1159C"/>
    <w:rsid w:val="00D136EA"/>
    <w:rsid w:val="00D251ED"/>
    <w:rsid w:val="00D30C8E"/>
    <w:rsid w:val="00D32550"/>
    <w:rsid w:val="00D64AA8"/>
    <w:rsid w:val="00D71D90"/>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68B0"/>
    <w:rsid w:val="00EC40AD"/>
    <w:rsid w:val="00EC590D"/>
    <w:rsid w:val="00ED6C4F"/>
    <w:rsid w:val="00EE27DA"/>
    <w:rsid w:val="00EE2BDE"/>
    <w:rsid w:val="00EF1895"/>
    <w:rsid w:val="00F04F29"/>
    <w:rsid w:val="00F165EB"/>
    <w:rsid w:val="00F169C1"/>
    <w:rsid w:val="00F23C20"/>
    <w:rsid w:val="00F3082B"/>
    <w:rsid w:val="00F30C1F"/>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3ABFBA"/>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2DF2-CF73-492A-9B13-EC63D94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