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Load Analysis Subcommit</w:t>
      </w:r>
      <w:r w:rsidR="002B2F98">
        <w:t>tee</w:t>
      </w:r>
    </w:p>
    <w:p w:rsidR="00F975F8" w:rsidRPr="00317419"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P="00F975F8">
      <w:pPr>
        <w:pStyle w:val="MeetingDetails"/>
      </w:pPr>
      <w:r>
        <w:t>November 29</w:t>
      </w:r>
      <w:r w:rsidRPr="004366FE">
        <w:t>, 20</w:t>
      </w:r>
      <w:r>
        <w:t>2</w:t>
      </w:r>
      <w:r w:rsidR="00554822">
        <w:t>2</w:t>
      </w:r>
    </w:p>
    <w:p w:rsidR="00B62597" w:rsidRPr="00B62597" w:rsidP="00755096">
      <w:pPr>
        <w:pStyle w:val="MeetingDetails"/>
        <w:rPr>
          <w:sz w:val="28"/>
          <w:u w:val="single"/>
        </w:rPr>
      </w:pPr>
      <w:r>
        <w:t>9</w:t>
      </w:r>
      <w:r w:rsidR="002B2F98">
        <w:t>:</w:t>
      </w:r>
      <w:r w:rsidR="00BA1C74">
        <w:t>0</w:t>
      </w:r>
      <w:r w:rsidR="002B2F98">
        <w:t xml:space="preserve">0 </w:t>
      </w:r>
      <w:r>
        <w:t>a</w:t>
      </w:r>
      <w:r w:rsidR="00B84FE2">
        <w:t>.</w:t>
      </w:r>
      <w:r w:rsidR="002B2F98">
        <w:t xml:space="preserve">m. – </w:t>
      </w:r>
      <w:r>
        <w:t>12</w:t>
      </w:r>
      <w:r w:rsidR="00A0584E">
        <w:t>:</w:t>
      </w:r>
      <w:r w:rsidR="004155F4">
        <w:t xml:space="preserve">00 </w:t>
      </w:r>
      <w:r w:rsidR="00A0584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5B25BC" w:rsidP="007C2954">
      <w:pPr>
        <w:pStyle w:val="PrimaryHeading"/>
        <w:rPr>
          <w:caps/>
          <w:sz w:val="24"/>
          <w:szCs w:val="24"/>
        </w:rPr>
      </w:pPr>
      <w:bookmarkStart w:id="0" w:name="OLE_LINK5"/>
      <w:bookmarkStart w:id="1" w:name="OLE_LINK3"/>
      <w:r w:rsidRPr="005B25BC">
        <w:rPr>
          <w:sz w:val="24"/>
          <w:szCs w:val="24"/>
        </w:rPr>
        <w:t>Administration (</w:t>
      </w:r>
      <w:r w:rsidR="00F147C3">
        <w:rPr>
          <w:sz w:val="24"/>
          <w:szCs w:val="24"/>
        </w:rPr>
        <w:t>9</w:t>
      </w:r>
      <w:r w:rsidRPr="005B25BC">
        <w:rPr>
          <w:sz w:val="24"/>
          <w:szCs w:val="24"/>
        </w:rPr>
        <w:t>:00-</w:t>
      </w:r>
      <w:r w:rsidR="00F147C3">
        <w:rPr>
          <w:sz w:val="24"/>
          <w:szCs w:val="24"/>
        </w:rPr>
        <w:t>9</w:t>
      </w:r>
      <w:r w:rsidRPr="005B25BC">
        <w:rPr>
          <w:sz w:val="24"/>
          <w:szCs w:val="24"/>
        </w:rPr>
        <w:t>:</w:t>
      </w:r>
      <w:r w:rsidRPr="005B25BC" w:rsidR="004B252B">
        <w:rPr>
          <w:sz w:val="24"/>
          <w:szCs w:val="24"/>
        </w:rPr>
        <w:t>1</w:t>
      </w:r>
      <w:r w:rsidRPr="005B25BC">
        <w:rPr>
          <w:sz w:val="24"/>
          <w:szCs w:val="24"/>
        </w:rPr>
        <w:t>0)</w:t>
      </w:r>
    </w:p>
    <w:bookmarkEnd w:id="0"/>
    <w:bookmarkEnd w:id="1"/>
    <w:p w:rsidR="004B252B" w:rsidRPr="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F147C3">
        <w:rPr>
          <w:rFonts w:ascii="Arial Narrow" w:eastAsia="Times New Roman" w:hAnsi="Arial Narrow" w:cs="Times New Roman"/>
          <w:sz w:val="24"/>
        </w:rPr>
        <w:t>October 27</w:t>
      </w:r>
      <w:r w:rsidRPr="004B252B">
        <w:rPr>
          <w:rFonts w:ascii="Arial Narrow" w:eastAsia="Times New Roman" w:hAnsi="Arial Narrow" w:cs="Times New Roman"/>
          <w:sz w:val="24"/>
        </w:rPr>
        <w:t>, 202</w:t>
      </w:r>
      <w:r w:rsidR="00BA1C74">
        <w:rPr>
          <w:rFonts w:ascii="Arial Narrow" w:eastAsia="Times New Roman" w:hAnsi="Arial Narrow" w:cs="Times New Roman"/>
          <w:sz w:val="24"/>
        </w:rPr>
        <w:t>2</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P="007C2954">
      <w:pPr>
        <w:pStyle w:val="PrimaryHeading"/>
        <w:rPr>
          <w:sz w:val="24"/>
          <w:szCs w:val="24"/>
        </w:rPr>
      </w:pPr>
      <w:r>
        <w:rPr>
          <w:sz w:val="24"/>
          <w:szCs w:val="24"/>
        </w:rPr>
        <w:t>Meeting Materials</w:t>
      </w:r>
      <w:r w:rsidRPr="005B25BC" w:rsidR="00351799">
        <w:rPr>
          <w:sz w:val="24"/>
          <w:szCs w:val="24"/>
        </w:rPr>
        <w:t xml:space="preserve"> (</w:t>
      </w:r>
      <w:r w:rsidR="00262196">
        <w:rPr>
          <w:sz w:val="24"/>
          <w:szCs w:val="24"/>
        </w:rPr>
        <w:t>9</w:t>
      </w:r>
      <w:r w:rsidRPr="005B25BC" w:rsidR="00351799">
        <w:rPr>
          <w:sz w:val="24"/>
          <w:szCs w:val="24"/>
        </w:rPr>
        <w:t>:10</w:t>
      </w:r>
      <w:r w:rsidR="00C31694">
        <w:rPr>
          <w:sz w:val="24"/>
          <w:szCs w:val="24"/>
        </w:rPr>
        <w:t xml:space="preserve"> </w:t>
      </w:r>
      <w:r w:rsidRPr="005B25BC" w:rsidR="00351799">
        <w:rPr>
          <w:sz w:val="24"/>
          <w:szCs w:val="24"/>
        </w:rPr>
        <w:t>-</w:t>
      </w:r>
      <w:r w:rsidR="00262196">
        <w:rPr>
          <w:sz w:val="24"/>
          <w:szCs w:val="24"/>
        </w:rPr>
        <w:t xml:space="preserve"> 12</w:t>
      </w:r>
      <w:r w:rsidRPr="005B25BC" w:rsidR="00351799">
        <w:rPr>
          <w:sz w:val="24"/>
          <w:szCs w:val="24"/>
        </w:rPr>
        <w:t>:00)</w:t>
      </w:r>
    </w:p>
    <w:p w:rsidR="00F147C3" w:rsidRPr="001005C7" w:rsidP="00F147C3">
      <w:pPr>
        <w:pStyle w:val="SecondaryHeading-Numbered"/>
        <w:numPr>
          <w:ilvl w:val="0"/>
          <w:numId w:val="13"/>
        </w:numPr>
        <w:spacing w:after="100"/>
        <w:rPr>
          <w:b w:val="0"/>
          <w:u w:val="single"/>
        </w:rPr>
      </w:pPr>
      <w:r w:rsidRPr="001005C7">
        <w:rPr>
          <w:b w:val="0"/>
          <w:u w:val="single"/>
        </w:rPr>
        <w:t>Distributed Solar</w:t>
      </w:r>
      <w:r>
        <w:rPr>
          <w:b w:val="0"/>
          <w:u w:val="single"/>
        </w:rPr>
        <w:t xml:space="preserve"> and Battery</w:t>
      </w:r>
      <w:r w:rsidRPr="001005C7">
        <w:rPr>
          <w:b w:val="0"/>
          <w:u w:val="single"/>
        </w:rPr>
        <w:t xml:space="preserve"> Generation Forecast</w:t>
      </w:r>
    </w:p>
    <w:p w:rsidR="00F147C3" w:rsidP="00F147C3">
      <w:pPr>
        <w:pStyle w:val="ListSubhead1"/>
        <w:numPr>
          <w:ilvl w:val="0"/>
          <w:numId w:val="0"/>
        </w:numPr>
        <w:spacing w:after="100"/>
        <w:ind w:left="360"/>
        <w:rPr>
          <w:b w:val="0"/>
        </w:rPr>
      </w:pPr>
      <w:r w:rsidRPr="002259E6">
        <w:rPr>
          <w:b w:val="0"/>
        </w:rPr>
        <w:t>M</w:t>
      </w:r>
      <w:r>
        <w:rPr>
          <w:b w:val="0"/>
        </w:rPr>
        <w:t>olly</w:t>
      </w:r>
      <w:r w:rsidRPr="002259E6">
        <w:rPr>
          <w:b w:val="0"/>
        </w:rPr>
        <w:t xml:space="preserve"> </w:t>
      </w:r>
      <w:r>
        <w:rPr>
          <w:b w:val="0"/>
        </w:rPr>
        <w:t xml:space="preserve">Mooney, PJM, </w:t>
      </w:r>
      <w:r w:rsidRPr="00650292">
        <w:rPr>
          <w:b w:val="0"/>
        </w:rPr>
        <w:t xml:space="preserve">will present the </w:t>
      </w:r>
      <w:r>
        <w:rPr>
          <w:b w:val="0"/>
        </w:rPr>
        <w:t xml:space="preserve">IHS </w:t>
      </w:r>
      <w:r>
        <w:rPr>
          <w:b w:val="0"/>
        </w:rPr>
        <w:t>Markit now a part of S&amp;P Global</w:t>
      </w:r>
      <w:r>
        <w:rPr>
          <w:b w:val="0"/>
        </w:rPr>
        <w:t xml:space="preserve"> </w:t>
      </w:r>
      <w:r w:rsidRPr="00650292">
        <w:rPr>
          <w:b w:val="0"/>
        </w:rPr>
        <w:t xml:space="preserve">forecast of installed behind-the-meter solar </w:t>
      </w:r>
      <w:r>
        <w:rPr>
          <w:b w:val="0"/>
        </w:rPr>
        <w:t xml:space="preserve">and battery </w:t>
      </w:r>
      <w:r w:rsidRPr="00650292">
        <w:rPr>
          <w:b w:val="0"/>
        </w:rPr>
        <w:t xml:space="preserve">generation capacity </w:t>
      </w:r>
      <w:r>
        <w:rPr>
          <w:b w:val="0"/>
        </w:rPr>
        <w:t xml:space="preserve">and </w:t>
      </w:r>
      <w:r w:rsidR="00262196">
        <w:rPr>
          <w:b w:val="0"/>
        </w:rPr>
        <w:t>incorporating in to the 2023 PJM Load Forecast</w:t>
      </w:r>
      <w:bookmarkStart w:id="2" w:name="_GoBack"/>
      <w:bookmarkEnd w:id="2"/>
      <w:r w:rsidRPr="002259E6">
        <w:rPr>
          <w:b w:val="0"/>
        </w:rPr>
        <w:t>.</w:t>
      </w:r>
    </w:p>
    <w:p w:rsidR="00F147C3" w:rsidP="00F147C3">
      <w:pPr>
        <w:pStyle w:val="ListSubhead1"/>
        <w:numPr>
          <w:ilvl w:val="0"/>
          <w:numId w:val="0"/>
        </w:numPr>
        <w:spacing w:after="0"/>
        <w:ind w:left="360"/>
        <w:rPr>
          <w:b w:val="0"/>
        </w:rPr>
      </w:pPr>
    </w:p>
    <w:p w:rsidR="00F147C3" w:rsidRPr="001005C7" w:rsidP="00F147C3">
      <w:pPr>
        <w:pStyle w:val="SecondaryHeading-Numbered"/>
        <w:numPr>
          <w:ilvl w:val="0"/>
          <w:numId w:val="13"/>
        </w:numPr>
        <w:spacing w:after="100"/>
        <w:rPr>
          <w:b w:val="0"/>
          <w:u w:val="single"/>
        </w:rPr>
      </w:pPr>
      <w:r w:rsidRPr="001005C7">
        <w:rPr>
          <w:b w:val="0"/>
          <w:u w:val="single"/>
        </w:rPr>
        <w:t>Preliminary 202</w:t>
      </w:r>
      <w:r>
        <w:rPr>
          <w:b w:val="0"/>
          <w:u w:val="single"/>
        </w:rPr>
        <w:t>3</w:t>
      </w:r>
      <w:r>
        <w:rPr>
          <w:b w:val="0"/>
          <w:u w:val="single"/>
        </w:rPr>
        <w:t xml:space="preserve"> </w:t>
      </w:r>
      <w:r w:rsidRPr="001005C7">
        <w:rPr>
          <w:b w:val="0"/>
          <w:u w:val="single"/>
        </w:rPr>
        <w:t>PJM Load Forecast</w:t>
      </w:r>
    </w:p>
    <w:p w:rsidR="00F147C3" w:rsidP="00F147C3">
      <w:pPr>
        <w:pStyle w:val="SecondaryHeading-Numbered"/>
        <w:numPr>
          <w:ilvl w:val="0"/>
          <w:numId w:val="0"/>
        </w:numPr>
        <w:spacing w:after="100"/>
        <w:ind w:left="360"/>
        <w:rPr>
          <w:b w:val="0"/>
        </w:rPr>
      </w:pPr>
      <w:r w:rsidRPr="001005C7">
        <w:rPr>
          <w:b w:val="0"/>
        </w:rPr>
        <w:t>Andrew Gledhill, PJM, will present the preliminary 202</w:t>
      </w:r>
      <w:r>
        <w:rPr>
          <w:b w:val="0"/>
        </w:rPr>
        <w:t>3</w:t>
      </w:r>
      <w:r w:rsidRPr="001005C7">
        <w:rPr>
          <w:b w:val="0"/>
        </w:rPr>
        <w:t xml:space="preserve"> load forecast</w:t>
      </w:r>
      <w:r>
        <w:rPr>
          <w:b w:val="0"/>
        </w:rPr>
        <w:t>.</w:t>
      </w:r>
    </w:p>
    <w:p w:rsidR="00C31694" w:rsidRPr="0060141A" w:rsidP="0030164E">
      <w:pPr>
        <w:pStyle w:val="SecondaryHeading-Numbered"/>
        <w:numPr>
          <w:ilvl w:val="0"/>
          <w:numId w:val="0"/>
        </w:numPr>
        <w:spacing w:after="0"/>
        <w:ind w:left="360"/>
        <w:rPr>
          <w:sz w:val="16"/>
          <w:szCs w:val="16"/>
        </w:rPr>
      </w:pPr>
    </w:p>
    <w:p w:rsidR="00E63EA3" w:rsidRPr="0030164E" w:rsidP="0030164E">
      <w:pPr>
        <w:pStyle w:val="PrimaryHeading"/>
        <w:rPr>
          <w:sz w:val="24"/>
          <w:szCs w:val="24"/>
        </w:rPr>
      </w:pPr>
      <w:r w:rsidRPr="0030164E">
        <w:rPr>
          <w:sz w:val="24"/>
          <w:szCs w:val="24"/>
        </w:rPr>
        <w:t xml:space="preserve">Informational </w:t>
      </w:r>
      <w:r w:rsidR="00575578">
        <w:rPr>
          <w:sz w:val="24"/>
          <w:szCs w:val="24"/>
        </w:rPr>
        <w:t>Update</w:t>
      </w:r>
    </w:p>
    <w:p w:rsidR="0030164E" w:rsidP="0030164E">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B27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276D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1A0BC2" w:rsidP="00237312">
            <w:pPr>
              <w:pStyle w:val="AttendeesList"/>
              <w:ind w:left="720" w:hanging="720"/>
              <w:jc w:val="center"/>
              <w:rPr>
                <w:sz w:val="22"/>
                <w:szCs w:val="22"/>
              </w:rPr>
            </w:pPr>
            <w:r>
              <w:rPr>
                <w:sz w:val="22"/>
                <w:szCs w:val="22"/>
              </w:rPr>
              <w:t>tbd</w:t>
            </w:r>
          </w:p>
        </w:tc>
        <w:tc>
          <w:tcPr>
            <w:tcW w:w="1080" w:type="dxa"/>
            <w:gridSpan w:val="2"/>
            <w:tcBorders>
              <w:top w:val="single" w:sz="4" w:space="0" w:color="auto"/>
              <w:left w:val="single" w:sz="4" w:space="0" w:color="auto"/>
              <w:right w:val="single" w:sz="8" w:space="0" w:color="auto"/>
            </w:tcBorders>
            <w:vAlign w:val="center"/>
          </w:tcPr>
          <w:p w:rsidR="001A0BC2" w:rsidRPr="00237312" w:rsidP="001A0BC2">
            <w:pPr>
              <w:pStyle w:val="AttendeesList"/>
              <w:rPr>
                <w:szCs w:val="18"/>
              </w:rPr>
            </w:pPr>
          </w:p>
        </w:tc>
        <w:tc>
          <w:tcPr>
            <w:tcW w:w="3600" w:type="dxa"/>
            <w:tcBorders>
              <w:top w:val="single" w:sz="4" w:space="0" w:color="auto"/>
              <w:left w:val="single" w:sz="8" w:space="0" w:color="auto"/>
              <w:right w:val="single" w:sz="8" w:space="0" w:color="auto"/>
            </w:tcBorders>
            <w:vAlign w:val="center"/>
          </w:tcPr>
          <w:p w:rsidR="001A0BC2" w:rsidRPr="00237312" w:rsidP="001A0BC2">
            <w:pPr>
              <w:pStyle w:val="event-address"/>
              <w:rPr>
                <w:rFonts w:ascii="Arial Narrow" w:hAnsi="Arial Narrow"/>
                <w:color w:val="222222"/>
                <w:sz w:val="22"/>
                <w:szCs w:val="22"/>
              </w:rPr>
            </w:pPr>
          </w:p>
        </w:tc>
        <w:tc>
          <w:tcPr>
            <w:tcW w:w="1816"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p>
        </w:tc>
        <w:tc>
          <w:tcPr>
            <w:tcW w:w="1529"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8E69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12CAA" w:rsidP="00CC734D"/>
          <w:p w:rsidR="00F147C3" w:rsidP="00CC734D"/>
          <w:p w:rsidR="00F147C3" w:rsidRPr="00B62597" w:rsidP="00CC734D"/>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8E6941">
        <w:t>Molly Mooney</w:t>
      </w:r>
    </w:p>
    <w:p w:rsidR="00A317A9" w:rsidP="00337321">
      <w:pPr>
        <w:pStyle w:val="Author"/>
      </w:pPr>
    </w:p>
    <w:p w:rsidR="00CC734D" w:rsidP="00337321">
      <w:pPr>
        <w:pStyle w:val="Author"/>
      </w:pPr>
    </w:p>
    <w:p w:rsidR="00CC734D" w:rsidP="00337321">
      <w:pPr>
        <w:pStyle w:val="Author"/>
      </w:pPr>
    </w:p>
    <w:p w:rsidR="00CC734D"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CC734D"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219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5482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5B25BC">
    <w:pPr>
      <w:pStyle w:val="PostingDate"/>
      <w:rPr>
        <w:sz w:val="16"/>
      </w:rPr>
    </w:pPr>
    <w:r>
      <w:t xml:space="preserve">As of </w:t>
    </w:r>
    <w:r w:rsidR="00F147C3">
      <w:t>November 22</w:t>
    </w:r>
    <w:r>
      <w:t>, 202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4822">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8779B"/>
    <w:rsid w:val="00092135"/>
    <w:rsid w:val="001005C7"/>
    <w:rsid w:val="00102377"/>
    <w:rsid w:val="001070A3"/>
    <w:rsid w:val="001678E8"/>
    <w:rsid w:val="001A0BC2"/>
    <w:rsid w:val="001B2242"/>
    <w:rsid w:val="001C0CC0"/>
    <w:rsid w:val="001D3B68"/>
    <w:rsid w:val="001E474A"/>
    <w:rsid w:val="0020319E"/>
    <w:rsid w:val="002113BD"/>
    <w:rsid w:val="002259E6"/>
    <w:rsid w:val="00227D3F"/>
    <w:rsid w:val="00237312"/>
    <w:rsid w:val="0025139E"/>
    <w:rsid w:val="00262196"/>
    <w:rsid w:val="002B2F98"/>
    <w:rsid w:val="002B54E2"/>
    <w:rsid w:val="002C6057"/>
    <w:rsid w:val="0030164E"/>
    <w:rsid w:val="00305238"/>
    <w:rsid w:val="00306A34"/>
    <w:rsid w:val="00317419"/>
    <w:rsid w:val="003251CE"/>
    <w:rsid w:val="00337321"/>
    <w:rsid w:val="00351799"/>
    <w:rsid w:val="003B55E1"/>
    <w:rsid w:val="003C17E2"/>
    <w:rsid w:val="003C3320"/>
    <w:rsid w:val="003D7E5C"/>
    <w:rsid w:val="003E7A73"/>
    <w:rsid w:val="003F3D05"/>
    <w:rsid w:val="004155F4"/>
    <w:rsid w:val="004366FE"/>
    <w:rsid w:val="0046043F"/>
    <w:rsid w:val="00491490"/>
    <w:rsid w:val="00494494"/>
    <w:rsid w:val="004969FA"/>
    <w:rsid w:val="004B252B"/>
    <w:rsid w:val="00527104"/>
    <w:rsid w:val="00554822"/>
    <w:rsid w:val="00564DEE"/>
    <w:rsid w:val="0057441E"/>
    <w:rsid w:val="00575578"/>
    <w:rsid w:val="005A5D0D"/>
    <w:rsid w:val="005B25BC"/>
    <w:rsid w:val="005D6D05"/>
    <w:rsid w:val="0060141A"/>
    <w:rsid w:val="006024A0"/>
    <w:rsid w:val="00602967"/>
    <w:rsid w:val="00606F11"/>
    <w:rsid w:val="00635921"/>
    <w:rsid w:val="00650292"/>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C4594"/>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276DA"/>
    <w:rsid w:val="00B34E3C"/>
    <w:rsid w:val="00B62597"/>
    <w:rsid w:val="00B84FE2"/>
    <w:rsid w:val="00BA1C74"/>
    <w:rsid w:val="00BA6146"/>
    <w:rsid w:val="00BB4D1C"/>
    <w:rsid w:val="00BB531B"/>
    <w:rsid w:val="00BB6921"/>
    <w:rsid w:val="00BF331B"/>
    <w:rsid w:val="00C10A93"/>
    <w:rsid w:val="00C31694"/>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A23DE"/>
    <w:rsid w:val="00DB29E9"/>
    <w:rsid w:val="00DE34CF"/>
    <w:rsid w:val="00DF3060"/>
    <w:rsid w:val="00E1605D"/>
    <w:rsid w:val="00E21628"/>
    <w:rsid w:val="00E32B6B"/>
    <w:rsid w:val="00E368CB"/>
    <w:rsid w:val="00E5387A"/>
    <w:rsid w:val="00E55E84"/>
    <w:rsid w:val="00E63EA3"/>
    <w:rsid w:val="00EB68B0"/>
    <w:rsid w:val="00EC4C32"/>
    <w:rsid w:val="00ED76BD"/>
    <w:rsid w:val="00F147C3"/>
    <w:rsid w:val="00F4190F"/>
    <w:rsid w:val="00F975F8"/>
    <w:rsid w:val="00FC252E"/>
    <w:rsid w:val="00FC2B9A"/>
    <w:rsid w:val="00FC7E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F7098F"/>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 w:type="paragraph" w:customStyle="1" w:styleId="event-address">
    <w:name w:val="event-address"/>
    <w:basedOn w:val="Normal"/>
    <w:rsid w:val="0055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ynol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0FDE-4576-42D5-A6B2-A3CC2D80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