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January 2</w:t>
      </w:r>
      <w:r w:rsidR="00D674D9">
        <w:t>9, 2024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6D7C71" w:rsidP="006D7C71">
      <w:pPr>
        <w:pStyle w:val="PrimaryHeading"/>
      </w:pPr>
      <w:r>
        <w:t>Information (09:10-1</w:t>
      </w:r>
      <w:r w:rsidR="005033C1">
        <w:t>1</w:t>
      </w:r>
      <w:r>
        <w:t>:</w:t>
      </w:r>
      <w:r w:rsidR="005033C1">
        <w:t>3</w:t>
      </w:r>
      <w:r>
        <w:t>0</w:t>
      </w:r>
      <w:r w:rsidRPr="00DB29E9">
        <w:t>)</w:t>
      </w:r>
    </w:p>
    <w:p w:rsidR="0017735C" w:rsidP="0017735C">
      <w:pPr>
        <w:pStyle w:val="SecondaryHeading-Numbered"/>
        <w:rPr>
          <w:b w:val="0"/>
        </w:rPr>
      </w:pPr>
      <w:r>
        <w:rPr>
          <w:b w:val="0"/>
        </w:rPr>
        <w:t>Ch</w:t>
      </w:r>
      <w:r w:rsidR="002A3EF9">
        <w:rPr>
          <w:b w:val="0"/>
        </w:rPr>
        <w:t xml:space="preserve">ristina Andalora, </w:t>
      </w:r>
      <w:r>
        <w:rPr>
          <w:b w:val="0"/>
        </w:rPr>
        <w:t xml:space="preserve">PJM, will provide the 2024 Roadmap and review </w:t>
      </w:r>
      <w:r w:rsidR="002A3EF9">
        <w:rPr>
          <w:b w:val="0"/>
        </w:rPr>
        <w:t>accomplishments from 2023</w:t>
      </w:r>
    </w:p>
    <w:p w:rsidR="0017735C" w:rsidRPr="00A6110D" w:rsidP="0017735C">
      <w:pPr>
        <w:pStyle w:val="ListSubhead1"/>
        <w:rPr>
          <w:b w:val="0"/>
        </w:rPr>
      </w:pPr>
      <w:r>
        <w:rPr>
          <w:b w:val="0"/>
        </w:rPr>
        <w:t xml:space="preserve">Heather Reiter, PJM, will </w:t>
      </w:r>
      <w:r w:rsidR="002A3EF9">
        <w:rPr>
          <w:b w:val="0"/>
        </w:rPr>
        <w:t>discuss the Interconnection Analysis Expedited Process &amp; Transition Cycle 1 study status</w:t>
      </w:r>
    </w:p>
    <w:p w:rsidR="002A3EF9" w:rsidP="001502FA">
      <w:pPr>
        <w:pStyle w:val="SecondaryHeading-Numbered"/>
        <w:rPr>
          <w:b w:val="0"/>
        </w:rPr>
      </w:pPr>
      <w:r w:rsidRPr="002A3EF9">
        <w:rPr>
          <w:b w:val="0"/>
        </w:rPr>
        <w:t xml:space="preserve">Stacey </w:t>
      </w:r>
      <w:r w:rsidRPr="002A3EF9">
        <w:rPr>
          <w:b w:val="0"/>
        </w:rPr>
        <w:t>Nestel</w:t>
      </w:r>
      <w:r w:rsidRPr="002A3EF9">
        <w:rPr>
          <w:b w:val="0"/>
        </w:rPr>
        <w:t xml:space="preserve"> and Jennie </w:t>
      </w:r>
      <w:r w:rsidRPr="002A3EF9">
        <w:rPr>
          <w:b w:val="0"/>
        </w:rPr>
        <w:t>Speelman</w:t>
      </w:r>
      <w:r w:rsidRPr="002A3EF9" w:rsidR="006D7C71">
        <w:rPr>
          <w:b w:val="0"/>
        </w:rPr>
        <w:t>,</w:t>
      </w:r>
      <w:r w:rsidRPr="002A3EF9">
        <w:rPr>
          <w:b w:val="0"/>
        </w:rPr>
        <w:t xml:space="preserve"> both</w:t>
      </w:r>
      <w:r>
        <w:rPr>
          <w:b w:val="0"/>
        </w:rPr>
        <w:t xml:space="preserve"> PJM, will lead an Interconnection Projects Readiness Review Lessons Learned Debrief</w:t>
      </w:r>
    </w:p>
    <w:p w:rsidR="006D7C71" w:rsidRPr="002A3EF9" w:rsidP="001502FA">
      <w:pPr>
        <w:pStyle w:val="SecondaryHeading-Numbered"/>
        <w:rPr>
          <w:b w:val="0"/>
        </w:rPr>
      </w:pPr>
      <w:r w:rsidRPr="002A3EF9">
        <w:rPr>
          <w:b w:val="0"/>
        </w:rPr>
        <w:t>Dylan Seeley</w:t>
      </w:r>
      <w:r w:rsidRPr="002A3EF9">
        <w:rPr>
          <w:b w:val="0"/>
        </w:rPr>
        <w:t xml:space="preserve">, PJM, will review Draft Agreements in </w:t>
      </w:r>
      <w:r w:rsidRPr="002A3EF9">
        <w:rPr>
          <w:b w:val="0"/>
        </w:rPr>
        <w:t>DocuTrack</w:t>
      </w:r>
    </w:p>
    <w:p w:rsidR="006D7C71" w:rsidRPr="001B2242" w:rsidP="00D8434F">
      <w:pPr>
        <w:pStyle w:val="SecondaryHeading-Numbered"/>
      </w:pPr>
      <w:r>
        <w:rPr>
          <w:b w:val="0"/>
        </w:rPr>
        <w:t xml:space="preserve">Paula Moore, PJM, will </w:t>
      </w:r>
      <w:r w:rsidR="002A3EF9">
        <w:rPr>
          <w:b w:val="0"/>
        </w:rPr>
        <w:t>discuss</w:t>
      </w:r>
      <w:r>
        <w:rPr>
          <w:b w:val="0"/>
        </w:rPr>
        <w:t xml:space="preserve"> </w:t>
      </w:r>
      <w:r w:rsidRPr="006D7C71">
        <w:rPr>
          <w:b w:val="0"/>
        </w:rPr>
        <w:t>Additional Study Deposits</w:t>
      </w:r>
    </w:p>
    <w:p w:rsidR="00F05E88" w:rsidP="00F05E88">
      <w:pPr>
        <w:pStyle w:val="PrimaryHeading"/>
      </w:pPr>
      <w:r>
        <w:t>CIR Transfer Efficiency CBIR Process (</w:t>
      </w:r>
      <w:r w:rsidR="005033C1">
        <w:t>11:30</w:t>
      </w:r>
      <w:r>
        <w:t>-12:00</w:t>
      </w:r>
      <w:r w:rsidRPr="00DB29E9">
        <w:t>)</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January 29,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C2128" w:rsidRPr="00C10A93" w:rsidP="005C2128">
            <w:pPr>
              <w:pStyle w:val="DisclaimerHeading"/>
              <w:spacing w:before="40" w:after="40" w:line="220" w:lineRule="exact"/>
              <w:jc w:val="center"/>
              <w:rPr>
                <w:b w:val="0"/>
                <w:color w:val="auto"/>
                <w:sz w:val="18"/>
                <w:szCs w:val="18"/>
              </w:rPr>
            </w:pPr>
            <w:r>
              <w:rPr>
                <w:b w:val="0"/>
                <w:color w:val="auto"/>
                <w:sz w:val="18"/>
                <w:szCs w:val="18"/>
              </w:rPr>
              <w:t>January 19,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January 24,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61A88" w:rsidRPr="00361A88" w:rsidP="00361A88">
            <w:pPr>
              <w:pStyle w:val="DisclaimerHeading"/>
              <w:spacing w:before="40" w:after="40" w:line="220" w:lineRule="exact"/>
              <w:jc w:val="left"/>
              <w:rPr>
                <w:b w:val="0"/>
                <w:i w:val="0"/>
                <w:color w:val="auto"/>
                <w:sz w:val="18"/>
                <w:szCs w:val="18"/>
              </w:rPr>
            </w:pPr>
            <w:r w:rsidRPr="00361A88">
              <w:rPr>
                <w:b w:val="0"/>
                <w:i w:val="0"/>
                <w:color w:val="auto"/>
                <w:sz w:val="18"/>
                <w:szCs w:val="18"/>
              </w:rPr>
              <w:t>February 9, 2024</w:t>
            </w:r>
          </w:p>
        </w:tc>
        <w:tc>
          <w:tcPr>
            <w:tcW w:w="1980" w:type="dxa"/>
            <w:tcBorders>
              <w:top w:val="single" w:sz="4" w:space="0" w:color="auto"/>
              <w:left w:val="single" w:sz="4" w:space="0" w:color="auto"/>
              <w:bottom w:val="single" w:sz="4" w:space="0" w:color="auto"/>
              <w:right w:val="single" w:sz="4" w:space="0" w:color="auto"/>
            </w:tcBorders>
          </w:tcPr>
          <w:p w:rsidR="00361A88" w:rsidP="00361A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61A88"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1, 2024</w:t>
            </w:r>
          </w:p>
        </w:tc>
        <w:tc>
          <w:tcPr>
            <w:tcW w:w="1529"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6,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February 23,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361A88">
            <w:pPr>
              <w:pStyle w:val="DisclaimerHeading"/>
              <w:spacing w:before="40" w:after="40" w:line="220" w:lineRule="exact"/>
              <w:rPr>
                <w:b w:val="0"/>
                <w:color w:val="auto"/>
                <w:sz w:val="18"/>
                <w:szCs w:val="18"/>
              </w:rPr>
            </w:pPr>
            <w:r>
              <w:rPr>
                <w:b w:val="0"/>
                <w:color w:val="auto"/>
                <w:sz w:val="18"/>
                <w:szCs w:val="18"/>
              </w:rPr>
              <w:t>1:00 p</w:t>
            </w:r>
            <w:r w:rsidRPr="00DE452C">
              <w:rPr>
                <w:b w:val="0"/>
                <w:color w:val="auto"/>
                <w:sz w:val="18"/>
                <w:szCs w:val="18"/>
              </w:rPr>
              <w:t xml:space="preserve">.m. – </w:t>
            </w:r>
            <w:r>
              <w:rPr>
                <w:b w:val="0"/>
                <w:color w:val="auto"/>
                <w:sz w:val="18"/>
                <w:szCs w:val="18"/>
              </w:rPr>
              <w:t>4</w:t>
            </w:r>
            <w:r w:rsidRPr="00DE452C">
              <w:rPr>
                <w:b w:val="0"/>
                <w:color w:val="auto"/>
                <w:sz w:val="18"/>
                <w:szCs w:val="18"/>
              </w:rPr>
              <w:t>:00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14,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20,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E20EE0">
        <w:tblPrEx>
          <w:tblW w:w="0" w:type="auto"/>
          <w:tblLook w:val="04A0"/>
        </w:tblPrEx>
        <w:trPr>
          <w:trHeight w:val="331"/>
        </w:trPr>
        <w:tc>
          <w:tcPr>
            <w:tcW w:w="1530" w:type="dxa"/>
            <w:tcBorders>
              <w:top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3EF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6D7C71">
      <w:t>January 24</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0F5C3D"/>
    <w:rsid w:val="00117AF9"/>
    <w:rsid w:val="00121F58"/>
    <w:rsid w:val="001502FA"/>
    <w:rsid w:val="001678E8"/>
    <w:rsid w:val="00170E02"/>
    <w:rsid w:val="0017735C"/>
    <w:rsid w:val="001B2242"/>
    <w:rsid w:val="001C0CC0"/>
    <w:rsid w:val="001D3B68"/>
    <w:rsid w:val="001D5A5C"/>
    <w:rsid w:val="00200A1B"/>
    <w:rsid w:val="002113BD"/>
    <w:rsid w:val="0025139E"/>
    <w:rsid w:val="00283739"/>
    <w:rsid w:val="002A3EF9"/>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46043F"/>
    <w:rsid w:val="00491490"/>
    <w:rsid w:val="00493584"/>
    <w:rsid w:val="00494494"/>
    <w:rsid w:val="004969FA"/>
    <w:rsid w:val="004F3D57"/>
    <w:rsid w:val="005033C1"/>
    <w:rsid w:val="00527104"/>
    <w:rsid w:val="00564DEE"/>
    <w:rsid w:val="005675A0"/>
    <w:rsid w:val="0057441E"/>
    <w:rsid w:val="005A5D0D"/>
    <w:rsid w:val="005B6804"/>
    <w:rsid w:val="005C2128"/>
    <w:rsid w:val="005C4B51"/>
    <w:rsid w:val="005D225E"/>
    <w:rsid w:val="005D6D05"/>
    <w:rsid w:val="006024A0"/>
    <w:rsid w:val="00602967"/>
    <w:rsid w:val="00606F11"/>
    <w:rsid w:val="00690003"/>
    <w:rsid w:val="00690A54"/>
    <w:rsid w:val="006978BB"/>
    <w:rsid w:val="006C738F"/>
    <w:rsid w:val="006D7C71"/>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8B3B5F"/>
    <w:rsid w:val="008C58A0"/>
    <w:rsid w:val="00917386"/>
    <w:rsid w:val="0095194C"/>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6F93"/>
    <w:rsid w:val="00D674D9"/>
    <w:rsid w:val="00D729E2"/>
    <w:rsid w:val="00D827A6"/>
    <w:rsid w:val="00D831E4"/>
    <w:rsid w:val="00D8434F"/>
    <w:rsid w:val="00D95949"/>
    <w:rsid w:val="00DA23DE"/>
    <w:rsid w:val="00DB29E9"/>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8649B1"/>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