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BB6C29" w:rsidRPr="00B62597" w:rsidP="00BB6C29">
      <w:pPr>
        <w:pStyle w:val="MeetingDetails"/>
      </w:pPr>
      <w:r>
        <w:t>Demand Response Subcommittee</w:t>
      </w:r>
    </w:p>
    <w:p w:rsidR="00BB6C29" w:rsidRPr="00B62597" w:rsidP="00BB6C29">
      <w:pPr>
        <w:pStyle w:val="MeetingDetails"/>
      </w:pPr>
      <w:r>
        <w:t>WebEx/Conference Call</w:t>
      </w:r>
    </w:p>
    <w:p w:rsidR="00BB6C29" w:rsidRPr="00B62597" w:rsidP="00BB6C29">
      <w:pPr>
        <w:pStyle w:val="MeetingDetails"/>
      </w:pPr>
      <w:r>
        <w:t>Nov</w:t>
      </w:r>
      <w:r w:rsidR="000E1AA0">
        <w:t xml:space="preserve"> </w:t>
      </w:r>
      <w:r>
        <w:t>9</w:t>
      </w:r>
      <w:r w:rsidR="00F757E1">
        <w:t>,</w:t>
      </w:r>
      <w:r>
        <w:t xml:space="preserve"> 202</w:t>
      </w:r>
      <w:r w:rsidR="00375A27">
        <w:t>2</w:t>
      </w:r>
    </w:p>
    <w:p w:rsidR="00BB6C29" w:rsidRPr="00B62597" w:rsidP="00BB6C29">
      <w:pPr>
        <w:pStyle w:val="MeetingDetails"/>
        <w:rPr>
          <w:sz w:val="28"/>
          <w:u w:val="single"/>
        </w:rPr>
      </w:pPr>
      <w:r>
        <w:t>9</w:t>
      </w:r>
      <w:r w:rsidR="00375A27">
        <w:t>:</w:t>
      </w:r>
      <w:r>
        <w:t xml:space="preserve">00 </w:t>
      </w:r>
      <w:r>
        <w:t>a</w:t>
      </w:r>
      <w:r w:rsidR="00393D0C">
        <w:t>m</w:t>
      </w:r>
      <w:r>
        <w:t xml:space="preserve"> – </w:t>
      </w:r>
      <w:r>
        <w:t>1</w:t>
      </w:r>
      <w:r w:rsidR="00372921">
        <w:t>1</w:t>
      </w:r>
      <w:r w:rsidR="00E22239">
        <w:t>:</w:t>
      </w:r>
      <w:r w:rsidR="003230DC">
        <w:t>0</w:t>
      </w:r>
      <w:r w:rsidR="00E22239">
        <w:t>0</w:t>
      </w:r>
      <w:r>
        <w:t xml:space="preserve"> </w:t>
      </w:r>
      <w:r w:rsidR="00393D0C">
        <w:t>pm</w:t>
      </w:r>
      <w:r>
        <w:t xml:space="preserve"> EPT</w:t>
      </w:r>
    </w:p>
    <w:p w:rsidR="00BB6C29" w:rsidRPr="00B62597" w:rsidP="00BB6C29">
      <w:pPr>
        <w:spacing w:after="0" w:line="240" w:lineRule="auto"/>
        <w:rPr>
          <w:rFonts w:ascii="Arial Narrow" w:eastAsia="Times New Roman" w:hAnsi="Arial Narrow" w:cs="Times New Roman"/>
          <w:sz w:val="24"/>
          <w:szCs w:val="20"/>
        </w:rPr>
      </w:pPr>
    </w:p>
    <w:p w:rsidR="00BB6C29" w:rsidRPr="00B62597" w:rsidP="00BB6C29">
      <w:pPr>
        <w:pStyle w:val="PrimaryHeading"/>
        <w:rPr>
          <w:caps/>
        </w:rPr>
      </w:pPr>
      <w:bookmarkStart w:id="0" w:name="OLE_LINK5"/>
      <w:bookmarkStart w:id="1" w:name="OLE_LINK3"/>
      <w:r w:rsidRPr="00527104">
        <w:t>Adm</w:t>
      </w:r>
      <w:r w:rsidRPr="007C2954">
        <w:t>inistrati</w:t>
      </w:r>
      <w:r w:rsidRPr="00527104">
        <w:t>on (</w:t>
      </w:r>
      <w:r w:rsidR="000E1AA0">
        <w:t>9</w:t>
      </w:r>
      <w:r w:rsidRPr="00527104">
        <w:t>:00</w:t>
      </w:r>
      <w:r>
        <w:t xml:space="preserve"> </w:t>
      </w:r>
      <w:r w:rsidRPr="00527104">
        <w:t>-</w:t>
      </w:r>
      <w:r w:rsidR="00056387">
        <w:t xml:space="preserve"> </w:t>
      </w:r>
      <w:r w:rsidR="000E1AA0">
        <w:t>9</w:t>
      </w:r>
      <w:r w:rsidRPr="00527104">
        <w:t>:</w:t>
      </w:r>
      <w:r>
        <w:t>1</w:t>
      </w:r>
      <w:r w:rsidR="00471C29">
        <w:t>5</w:t>
      </w:r>
      <w:r w:rsidRPr="00527104">
        <w:t>)</w:t>
      </w:r>
    </w:p>
    <w:bookmarkEnd w:id="0"/>
    <w:bookmarkEnd w:id="1"/>
    <w:p w:rsidR="00BB6C29" w:rsidRPr="00B07F85" w:rsidP="00BB6C29">
      <w:pPr>
        <w:pStyle w:val="SecondaryNumberedHeading"/>
        <w:rPr>
          <w:lang w:bidi="en-US"/>
        </w:rPr>
      </w:pPr>
      <w:r w:rsidRPr="00B07F85">
        <w:rPr>
          <w:lang w:bidi="en-US"/>
        </w:rPr>
        <w:t xml:space="preserve">Welcome, </w:t>
      </w:r>
      <w:r>
        <w:rPr>
          <w:lang w:bidi="en-US"/>
        </w:rPr>
        <w:t>A</w:t>
      </w:r>
      <w:r w:rsidRPr="00B07F85">
        <w:rPr>
          <w:lang w:bidi="en-US"/>
        </w:rPr>
        <w:t>nnouncements and Anti-trust and Code of Conduct announcement</w:t>
      </w:r>
    </w:p>
    <w:p w:rsidR="00BB6C29" w:rsidRPr="00FB27A7" w:rsidP="00BB6C29">
      <w:pPr>
        <w:pStyle w:val="ListedItem"/>
        <w:rPr>
          <w:sz w:val="24"/>
          <w:szCs w:val="24"/>
        </w:rPr>
      </w:pPr>
      <w:r>
        <w:rPr>
          <w:sz w:val="24"/>
          <w:szCs w:val="24"/>
        </w:rPr>
        <w:t xml:space="preserve">WebEx report will be used for attendance </w:t>
      </w:r>
      <w:r>
        <w:rPr>
          <w:sz w:val="24"/>
          <w:szCs w:val="24"/>
        </w:rPr>
        <w:t xml:space="preserve"> </w:t>
      </w:r>
    </w:p>
    <w:p w:rsidR="00BB6C29" w:rsidP="00BB6C29">
      <w:pPr>
        <w:pStyle w:val="ListedItem"/>
        <w:rPr>
          <w:sz w:val="24"/>
          <w:szCs w:val="24"/>
        </w:rPr>
      </w:pPr>
      <w:r w:rsidRPr="00FB27A7">
        <w:rPr>
          <w:sz w:val="24"/>
          <w:szCs w:val="24"/>
        </w:rPr>
        <w:t>Review prior minutes –</w:t>
      </w:r>
      <w:r w:rsidR="003230DC">
        <w:rPr>
          <w:sz w:val="24"/>
          <w:szCs w:val="24"/>
        </w:rPr>
        <w:t xml:space="preserve"> </w:t>
      </w:r>
      <w:r w:rsidR="000E1AA0">
        <w:rPr>
          <w:sz w:val="24"/>
          <w:szCs w:val="24"/>
        </w:rPr>
        <w:t>9</w:t>
      </w:r>
      <w:r w:rsidR="00E22239">
        <w:rPr>
          <w:sz w:val="24"/>
          <w:szCs w:val="24"/>
        </w:rPr>
        <w:t>/</w:t>
      </w:r>
      <w:r w:rsidR="000E1AA0">
        <w:rPr>
          <w:sz w:val="24"/>
          <w:szCs w:val="24"/>
        </w:rPr>
        <w:t>02</w:t>
      </w:r>
      <w:r>
        <w:rPr>
          <w:sz w:val="24"/>
          <w:szCs w:val="24"/>
        </w:rPr>
        <w:t>/202</w:t>
      </w:r>
      <w:r w:rsidR="00375A27">
        <w:rPr>
          <w:sz w:val="24"/>
          <w:szCs w:val="24"/>
        </w:rPr>
        <w:t>2</w:t>
      </w:r>
      <w:r w:rsidRPr="00FB27A7">
        <w:rPr>
          <w:sz w:val="24"/>
          <w:szCs w:val="24"/>
        </w:rPr>
        <w:t xml:space="preserve"> meeting</w:t>
      </w:r>
    </w:p>
    <w:p w:rsidR="00BB6C29" w:rsidRPr="00E60166" w:rsidP="00DA3C03">
      <w:pPr>
        <w:pStyle w:val="ListedItem"/>
        <w:rPr>
          <w:sz w:val="24"/>
          <w:szCs w:val="24"/>
        </w:rPr>
      </w:pPr>
      <w:r w:rsidRPr="00E60166">
        <w:rPr>
          <w:sz w:val="24"/>
          <w:szCs w:val="24"/>
        </w:rPr>
        <w:t>Request for any additional agenda items</w:t>
      </w:r>
    </w:p>
    <w:p w:rsidR="00E60166" w:rsidP="00C32A02">
      <w:pPr>
        <w:pStyle w:val="ListedItem"/>
        <w:rPr>
          <w:sz w:val="24"/>
          <w:szCs w:val="24"/>
        </w:rPr>
      </w:pPr>
      <w:r w:rsidRPr="00E60166">
        <w:rPr>
          <w:sz w:val="24"/>
          <w:szCs w:val="24"/>
        </w:rPr>
        <w:t>Brief update/discussion of DR related activity in other stakeholder groups – MIC, OC, PC, or other</w:t>
      </w:r>
    </w:p>
    <w:p w:rsidR="002A63D0" w:rsidP="002A63D0">
      <w:pPr>
        <w:pStyle w:val="ListedItem"/>
        <w:numPr>
          <w:ilvl w:val="1"/>
          <w:numId w:val="10"/>
        </w:numPr>
        <w:rPr>
          <w:sz w:val="24"/>
          <w:szCs w:val="24"/>
        </w:rPr>
      </w:pPr>
      <w:r>
        <w:rPr>
          <w:sz w:val="24"/>
          <w:szCs w:val="24"/>
        </w:rPr>
        <w:t>5 CPs</w:t>
      </w:r>
      <w:r w:rsidR="00B02B8E">
        <w:rPr>
          <w:sz w:val="24"/>
          <w:szCs w:val="24"/>
        </w:rPr>
        <w:t xml:space="preserve"> were published on pjm.com</w:t>
      </w:r>
    </w:p>
    <w:p w:rsidR="002A63D0" w:rsidRPr="002A63D0" w:rsidP="002A63D0">
      <w:pPr>
        <w:pStyle w:val="ListedItem"/>
        <w:numPr>
          <w:ilvl w:val="1"/>
          <w:numId w:val="10"/>
        </w:numPr>
        <w:rPr>
          <w:sz w:val="24"/>
          <w:szCs w:val="24"/>
        </w:rPr>
      </w:pPr>
      <w:r>
        <w:rPr>
          <w:sz w:val="24"/>
          <w:szCs w:val="24"/>
        </w:rPr>
        <w:t>Summer 2022 Add Backs available in DR Hub</w:t>
      </w:r>
    </w:p>
    <w:p w:rsidR="00626CD3" w:rsidRPr="00DB29E9" w:rsidP="00626CD3">
      <w:pPr>
        <w:pStyle w:val="PrimaryHeading"/>
      </w:pPr>
      <w:r>
        <w:t xml:space="preserve"> </w:t>
      </w:r>
      <w:r>
        <w:t>(9:15 – 9:35) Consolidation of DIRS / DRS in new DISRS (</w:t>
      </w:r>
      <w:r>
        <w:t>DIStributed</w:t>
      </w:r>
      <w:r>
        <w:t xml:space="preserve"> Resource Subcommittee)</w:t>
      </w:r>
    </w:p>
    <w:p w:rsidR="00626CD3" w:rsidRPr="003C44EA" w:rsidP="00626CD3">
      <w:pPr>
        <w:pStyle w:val="SecondaryNumberedHeading"/>
        <w:rPr>
          <w:b/>
        </w:rPr>
      </w:pPr>
      <w:r>
        <w:t xml:space="preserve">Pete Langbein to provide on update on the consolidation. The DRS will be sunset </w:t>
      </w:r>
      <w:r w:rsidR="00BA24C6">
        <w:t>after the December meeting. Future activity will take place starting at the new DISRS in January ’23.</w:t>
      </w:r>
      <w:bookmarkStart w:id="2" w:name="_GoBack"/>
      <w:bookmarkEnd w:id="2"/>
    </w:p>
    <w:p w:rsidR="00626CD3" w:rsidP="00626CD3">
      <w:pPr>
        <w:pStyle w:val="PrimaryHeading"/>
      </w:pPr>
      <w:r>
        <w:t xml:space="preserve"> (9:35 – 9:40) PJM Winter EP Drill Results</w:t>
      </w:r>
    </w:p>
    <w:p w:rsidR="00626CD3" w:rsidP="00BC2E97">
      <w:pPr>
        <w:pStyle w:val="SecondaryNumberedHeading"/>
      </w:pPr>
      <w:r>
        <w:t>Jack O’Neill to discuss the recent Winter Drill</w:t>
      </w:r>
    </w:p>
    <w:p w:rsidR="00626CD3" w:rsidP="00626CD3">
      <w:pPr>
        <w:pStyle w:val="PrimaryHeading"/>
      </w:pPr>
      <w:r>
        <w:t xml:space="preserve">(9:40 – 10:00) Inadvertent Dispatch of Load Management in </w:t>
      </w:r>
      <w:r>
        <w:t>DOM_Ashburn</w:t>
      </w:r>
      <w:r>
        <w:t xml:space="preserve"> subzone</w:t>
      </w:r>
    </w:p>
    <w:p w:rsidR="00626CD3" w:rsidP="00BC2E97">
      <w:pPr>
        <w:pStyle w:val="SecondaryNumberedHeading"/>
      </w:pPr>
      <w:r>
        <w:t xml:space="preserve">Jack O’Neill and Pete Langbein to discuss the 10/26/22 inadvertent dispatch of Load Management in the new </w:t>
      </w:r>
      <w:r>
        <w:t>DOM_Ashburn</w:t>
      </w:r>
      <w:r>
        <w:t xml:space="preserve"> subzone.</w:t>
      </w:r>
    </w:p>
    <w:p w:rsidR="000541E5" w:rsidRPr="00DB29E9" w:rsidP="00626CD3">
      <w:pPr>
        <w:pStyle w:val="PrimaryHeading"/>
      </w:pPr>
      <w:r>
        <w:t>(</w:t>
      </w:r>
      <w:r w:rsidR="00517960">
        <w:t>10</w:t>
      </w:r>
      <w:r>
        <w:t>:</w:t>
      </w:r>
      <w:r w:rsidR="00517960">
        <w:t>00</w:t>
      </w:r>
      <w:r>
        <w:t xml:space="preserve"> – </w:t>
      </w:r>
      <w:r w:rsidR="002A63D0">
        <w:t>1</w:t>
      </w:r>
      <w:r w:rsidR="00517960">
        <w:t>1</w:t>
      </w:r>
      <w:r>
        <w:t>:</w:t>
      </w:r>
      <w:r w:rsidR="002A63D0">
        <w:t>00</w:t>
      </w:r>
      <w:r>
        <w:t xml:space="preserve">) </w:t>
      </w:r>
      <w:r w:rsidRPr="00846195" w:rsidR="00846195">
        <w:t>DR/PRD Compliance Construct for Weather Sensitive Load</w:t>
      </w:r>
    </w:p>
    <w:p w:rsidR="000541E5" w:rsidRPr="001B3655" w:rsidP="000541E5">
      <w:pPr>
        <w:pStyle w:val="SecondaryNumberedHeading"/>
      </w:pPr>
      <w:r>
        <w:t xml:space="preserve">Pete Langbein </w:t>
      </w:r>
      <w:r w:rsidR="00C04DBF">
        <w:t xml:space="preserve">will </w:t>
      </w:r>
      <w:r w:rsidR="00517960">
        <w:t xml:space="preserve">solicit input on existing matrix and components. </w:t>
      </w:r>
      <w:r>
        <w:t>Exel</w:t>
      </w:r>
      <w:r w:rsidR="00517960">
        <w:t>on to discuss their proposed solution</w:t>
      </w:r>
      <w:r w:rsidR="00C04DBF">
        <w:t xml:space="preserve"> documented in the matrix</w:t>
      </w:r>
      <w:r w:rsidR="00517960">
        <w:t>. Stakeholder</w:t>
      </w:r>
      <w:r w:rsidR="00C04DBF">
        <w:t>s</w:t>
      </w:r>
      <w:r w:rsidR="00517960">
        <w:t xml:space="preserve"> will discuss the solution and provide feedback or alternative solutions.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60"/>
      </w:tblGrid>
      <w:tr w:rsidTr="00110112">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9360" w:type="dxa"/>
          </w:tcPr>
          <w:p w:rsidR="00BB6C29" w:rsidP="00110112">
            <w:pPr>
              <w:pStyle w:val="PrimaryHeading"/>
              <w:ind w:left="-109"/>
            </w:pPr>
            <w:r>
              <w:t xml:space="preserve"> </w:t>
            </w:r>
            <w:r>
              <w:t xml:space="preserve"> Future Agenda Items </w:t>
            </w:r>
          </w:p>
        </w:tc>
      </w:tr>
      <w:tr w:rsidTr="00110112">
        <w:tblPrEx>
          <w:tblW w:w="0" w:type="auto"/>
          <w:tblLook w:val="04A0"/>
        </w:tblPrEx>
        <w:trPr>
          <w:trHeight w:val="296"/>
        </w:trPr>
        <w:tc>
          <w:tcPr>
            <w:tcW w:w="9360" w:type="dxa"/>
          </w:tcPr>
          <w:p w:rsidR="00BB6C29" w:rsidP="00110112">
            <w:pPr>
              <w:pStyle w:val="SecondaryNumberedHeading"/>
              <w:numPr>
                <w:ilvl w:val="0"/>
                <w:numId w:val="0"/>
              </w:numPr>
              <w:rPr>
                <w:lang w:bidi="en-US"/>
              </w:rPr>
            </w:pPr>
            <w:r w:rsidRPr="004E55C6">
              <w:rPr>
                <w:lang w:bidi="en-US"/>
              </w:rPr>
              <w:t>Participants will have the opportunity to request the addition of any new item(s) to the agenda of a future meeting.</w:t>
            </w:r>
          </w:p>
          <w:p w:rsidR="00BB6C29" w:rsidP="00110112">
            <w:pPr>
              <w:pStyle w:val="AttendeesList"/>
            </w:pPr>
          </w:p>
        </w:tc>
      </w:tr>
      <w:tr w:rsidTr="00110112">
        <w:tblPrEx>
          <w:tblW w:w="0" w:type="auto"/>
          <w:tblLook w:val="04A0"/>
        </w:tblPrEx>
        <w:tc>
          <w:tcPr>
            <w:tcW w:w="9360" w:type="dxa"/>
          </w:tcPr>
          <w:p w:rsidR="00BB6C29" w:rsidP="00110112">
            <w:pPr>
              <w:pStyle w:val="PrimaryHeading"/>
              <w:ind w:left="-109"/>
            </w:pPr>
            <w:r>
              <w:t>Future Meeting Dates</w:t>
            </w:r>
          </w:p>
        </w:tc>
      </w:tr>
    </w:tbl>
    <w:tbl>
      <w:tblPr>
        <w:tblW w:w="0" w:type="auto"/>
        <w:tblCellMar>
          <w:left w:w="0" w:type="dxa"/>
          <w:right w:w="0" w:type="dxa"/>
        </w:tblCellMar>
        <w:tblLook w:val="04A0"/>
      </w:tblPr>
      <w:tblGrid>
        <w:gridCol w:w="1201"/>
        <w:gridCol w:w="1769"/>
        <w:gridCol w:w="2970"/>
        <w:gridCol w:w="1816"/>
        <w:gridCol w:w="1529"/>
      </w:tblGrid>
      <w:tr w:rsidTr="00FE6BB7">
        <w:tblPrEx>
          <w:tblW w:w="0" w:type="auto"/>
          <w:tblCellMar>
            <w:left w:w="0" w:type="dxa"/>
            <w:right w:w="0" w:type="dxa"/>
          </w:tblCellMar>
          <w:tblLook w:val="04A0"/>
        </w:tblPrEx>
        <w:trPr>
          <w:trHeight w:val="309"/>
        </w:trPr>
        <w:tc>
          <w:tcPr>
            <w:tcW w:w="5940" w:type="dxa"/>
            <w:gridSpan w:val="3"/>
            <w:tcBorders>
              <w:top w:val="single" w:sz="8" w:space="0" w:color="auto"/>
              <w:left w:val="single" w:sz="8" w:space="0" w:color="auto"/>
              <w:bottom w:val="single" w:sz="8" w:space="0" w:color="auto"/>
              <w:right w:val="single" w:sz="8" w:space="0" w:color="auto"/>
            </w:tcBorders>
            <w:shd w:val="clear" w:color="auto" w:fill="9BBB59"/>
            <w:tcMar>
              <w:top w:w="0" w:type="dxa"/>
              <w:left w:w="108" w:type="dxa"/>
              <w:bottom w:w="0" w:type="dxa"/>
              <w:right w:w="108" w:type="dxa"/>
            </w:tcMar>
            <w:vAlign w:val="center"/>
            <w:hideMark/>
          </w:tcPr>
          <w:p w:rsidR="000E1AA0" w:rsidP="00FE6BB7">
            <w:pPr>
              <w:pStyle w:val="MeetingDetails"/>
            </w:pPr>
            <w:r>
              <w:rPr>
                <w:bCs/>
                <w:color w:val="FFFFFF"/>
              </w:rPr>
              <w:br w:type="page"/>
            </w:r>
            <w:r>
              <w:t xml:space="preserve">Future Meeting Dates and </w:t>
            </w:r>
            <w:r w:rsidRPr="00E17F16">
              <w:t>Materials</w:t>
            </w:r>
          </w:p>
        </w:tc>
        <w:tc>
          <w:tcPr>
            <w:tcW w:w="1816" w:type="dxa"/>
            <w:vMerge w:val="restart"/>
            <w:tcBorders>
              <w:top w:val="single" w:sz="8" w:space="0" w:color="auto"/>
              <w:left w:val="nil"/>
              <w:bottom w:val="single" w:sz="8" w:space="0" w:color="FFFFFF"/>
              <w:right w:val="single" w:sz="8" w:space="0" w:color="auto"/>
            </w:tcBorders>
            <w:shd w:val="clear" w:color="auto" w:fill="4F81BD"/>
            <w:tcMar>
              <w:top w:w="0" w:type="dxa"/>
              <w:left w:w="108" w:type="dxa"/>
              <w:bottom w:w="0" w:type="dxa"/>
              <w:right w:w="108" w:type="dxa"/>
            </w:tcMar>
            <w:vAlign w:val="center"/>
            <w:hideMark/>
          </w:tcPr>
          <w:p w:rsidR="000E1AA0" w:rsidP="00FE6BB7">
            <w:pPr>
              <w:pStyle w:val="DisclaimerHeading"/>
              <w:spacing w:before="40" w:after="40"/>
              <w:jc w:val="center"/>
              <w:rPr>
                <w:color w:val="FFFFFF"/>
                <w:sz w:val="19"/>
                <w:szCs w:val="19"/>
              </w:rPr>
            </w:pPr>
            <w:r>
              <w:rPr>
                <w:noProof/>
              </w:rPr>
              <w:drawing>
                <wp:anchor distT="0" distB="0" distL="45720" distR="114300" simplePos="0" relativeHeight="251660288" behindDoc="0" locked="0" layoutInCell="1" allowOverlap="1">
                  <wp:simplePos x="0" y="0"/>
                  <wp:positionH relativeFrom="column">
                    <wp:posOffset>856615</wp:posOffset>
                  </wp:positionH>
                  <wp:positionV relativeFrom="paragraph">
                    <wp:posOffset>53975</wp:posOffset>
                  </wp:positionV>
                  <wp:extent cx="173990" cy="17399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990" cy="173990"/>
                          </a:xfrm>
                          <a:prstGeom prst="rect">
                            <a:avLst/>
                          </a:prstGeom>
                          <a:noFill/>
                        </pic:spPr>
                      </pic:pic>
                    </a:graphicData>
                  </a:graphic>
                  <wp14:sizeRelH relativeFrom="margin">
                    <wp14:pctWidth>0</wp14:pctWidth>
                  </wp14:sizeRelH>
                  <wp14:sizeRelV relativeFrom="margin">
                    <wp14:pctHeight>0</wp14:pctHeight>
                  </wp14:sizeRelV>
                </wp:anchor>
              </w:drawing>
            </w:r>
            <w:r>
              <w:rPr>
                <w:color w:val="FFFFFF"/>
                <w:sz w:val="19"/>
                <w:szCs w:val="19"/>
              </w:rPr>
              <w:t>Materials Due</w:t>
            </w:r>
            <w:r>
              <w:rPr>
                <w:color w:val="FFFFFF"/>
                <w:sz w:val="19"/>
                <w:szCs w:val="19"/>
              </w:rPr>
              <w:br/>
              <w:t>to Secretary</w:t>
            </w:r>
          </w:p>
        </w:tc>
        <w:tc>
          <w:tcPr>
            <w:tcW w:w="1529" w:type="dxa"/>
            <w:vMerge w:val="restart"/>
            <w:tcBorders>
              <w:top w:val="single" w:sz="8" w:space="0" w:color="auto"/>
              <w:left w:val="single" w:sz="8" w:space="0" w:color="auto"/>
              <w:bottom w:val="single" w:sz="8" w:space="0" w:color="FFFFFF"/>
              <w:right w:val="single" w:sz="8" w:space="0" w:color="auto"/>
            </w:tcBorders>
            <w:shd w:val="clear" w:color="auto" w:fill="4F81BD"/>
            <w:tcMar>
              <w:top w:w="0" w:type="dxa"/>
              <w:left w:w="108" w:type="dxa"/>
              <w:bottom w:w="0" w:type="dxa"/>
              <w:right w:w="108" w:type="dxa"/>
            </w:tcMar>
            <w:vAlign w:val="center"/>
            <w:hideMark/>
          </w:tcPr>
          <w:p w:rsidR="000E1AA0" w:rsidP="00FE6BB7">
            <w:pPr>
              <w:pStyle w:val="DisclaimerHeading"/>
              <w:spacing w:before="40" w:after="40"/>
              <w:jc w:val="center"/>
              <w:rPr>
                <w:color w:val="FFFFFF"/>
                <w:sz w:val="19"/>
                <w:szCs w:val="19"/>
              </w:rPr>
            </w:pPr>
            <w:r>
              <w:rPr>
                <w:color w:val="FFFFFF"/>
                <w:sz w:val="19"/>
                <w:szCs w:val="19"/>
              </w:rPr>
              <w:t>Materials Published</w:t>
            </w:r>
          </w:p>
        </w:tc>
      </w:tr>
      <w:tr w:rsidTr="00FE6BB7">
        <w:tblPrEx>
          <w:tblW w:w="0" w:type="auto"/>
          <w:tblCellMar>
            <w:left w:w="0" w:type="dxa"/>
            <w:right w:w="0" w:type="dxa"/>
          </w:tblCellMar>
          <w:tblLook w:val="04A0"/>
        </w:tblPrEx>
        <w:trPr>
          <w:trHeight w:val="296"/>
        </w:trPr>
        <w:tc>
          <w:tcPr>
            <w:tcW w:w="1201" w:type="dxa"/>
            <w:tcBorders>
              <w:top w:val="nil"/>
              <w:left w:val="single" w:sz="8" w:space="0" w:color="auto"/>
              <w:bottom w:val="single" w:sz="4" w:space="0" w:color="auto"/>
              <w:right w:val="single" w:sz="8" w:space="0" w:color="auto"/>
            </w:tcBorders>
            <w:shd w:val="clear" w:color="auto" w:fill="1F497D"/>
            <w:tcMar>
              <w:top w:w="0" w:type="dxa"/>
              <w:left w:w="108" w:type="dxa"/>
              <w:bottom w:w="0" w:type="dxa"/>
              <w:right w:w="108" w:type="dxa"/>
            </w:tcMar>
            <w:vAlign w:val="center"/>
            <w:hideMark/>
          </w:tcPr>
          <w:p w:rsidR="000E1AA0" w:rsidP="00FE6BB7">
            <w:pPr>
              <w:pStyle w:val="DisclaimerHeading"/>
              <w:rPr>
                <w:color w:val="auto"/>
                <w:sz w:val="19"/>
                <w:szCs w:val="19"/>
              </w:rPr>
            </w:pPr>
            <w:r>
              <w:rPr>
                <w:color w:val="auto"/>
                <w:sz w:val="19"/>
                <w:szCs w:val="19"/>
              </w:rPr>
              <w:t>Date</w:t>
            </w:r>
          </w:p>
        </w:tc>
        <w:tc>
          <w:tcPr>
            <w:tcW w:w="1769" w:type="dxa"/>
            <w:tcBorders>
              <w:top w:val="nil"/>
              <w:left w:val="nil"/>
              <w:bottom w:val="single" w:sz="4" w:space="0" w:color="auto"/>
              <w:right w:val="single" w:sz="8" w:space="0" w:color="auto"/>
            </w:tcBorders>
            <w:shd w:val="clear" w:color="auto" w:fill="1F497D"/>
            <w:tcMar>
              <w:top w:w="0" w:type="dxa"/>
              <w:left w:w="108" w:type="dxa"/>
              <w:bottom w:w="0" w:type="dxa"/>
              <w:right w:w="108" w:type="dxa"/>
            </w:tcMar>
            <w:vAlign w:val="center"/>
            <w:hideMark/>
          </w:tcPr>
          <w:p w:rsidR="000E1AA0" w:rsidP="00FE6BB7">
            <w:pPr>
              <w:pStyle w:val="DisclaimerHeading"/>
              <w:rPr>
                <w:color w:val="auto"/>
                <w:sz w:val="19"/>
                <w:szCs w:val="19"/>
              </w:rPr>
            </w:pPr>
            <w:r>
              <w:rPr>
                <w:color w:val="auto"/>
                <w:sz w:val="19"/>
                <w:szCs w:val="19"/>
              </w:rPr>
              <w:t>Time</w:t>
            </w:r>
          </w:p>
        </w:tc>
        <w:tc>
          <w:tcPr>
            <w:tcW w:w="2970" w:type="dxa"/>
            <w:tcBorders>
              <w:top w:val="nil"/>
              <w:left w:val="nil"/>
              <w:bottom w:val="single" w:sz="4" w:space="0" w:color="auto"/>
              <w:right w:val="single" w:sz="8" w:space="0" w:color="auto"/>
            </w:tcBorders>
            <w:shd w:val="clear" w:color="auto" w:fill="1F497D"/>
            <w:tcMar>
              <w:top w:w="0" w:type="dxa"/>
              <w:left w:w="108" w:type="dxa"/>
              <w:bottom w:w="0" w:type="dxa"/>
              <w:right w:w="108" w:type="dxa"/>
            </w:tcMar>
            <w:vAlign w:val="center"/>
            <w:hideMark/>
          </w:tcPr>
          <w:p w:rsidR="000E1AA0" w:rsidP="00FE6BB7">
            <w:pPr>
              <w:pStyle w:val="DisclaimerHeading"/>
              <w:jc w:val="center"/>
              <w:rPr>
                <w:color w:val="auto"/>
                <w:sz w:val="19"/>
                <w:szCs w:val="19"/>
              </w:rPr>
            </w:pPr>
            <w:r>
              <w:rPr>
                <w:color w:val="auto"/>
                <w:sz w:val="19"/>
                <w:szCs w:val="19"/>
              </w:rPr>
              <w:t>Location</w:t>
            </w:r>
          </w:p>
        </w:tc>
        <w:tc>
          <w:tcPr>
            <w:tcW w:w="0" w:type="auto"/>
            <w:vMerge/>
            <w:tcBorders>
              <w:top w:val="single" w:sz="8" w:space="0" w:color="FFFFFF"/>
              <w:left w:val="nil"/>
              <w:bottom w:val="single" w:sz="4" w:space="0" w:color="auto"/>
              <w:right w:val="single" w:sz="8" w:space="0" w:color="auto"/>
            </w:tcBorders>
            <w:vAlign w:val="center"/>
            <w:hideMark/>
          </w:tcPr>
          <w:p w:rsidR="000E1AA0" w:rsidP="00FE6BB7">
            <w:pPr>
              <w:spacing w:after="0" w:line="240" w:lineRule="auto"/>
              <w:rPr>
                <w:rFonts w:ascii="Arial Narrow" w:eastAsia="Times New Roman" w:hAnsi="Arial Narrow"/>
                <w:b/>
                <w:bCs/>
                <w:color w:val="FFFFFF"/>
                <w:sz w:val="19"/>
                <w:szCs w:val="19"/>
              </w:rPr>
            </w:pPr>
          </w:p>
        </w:tc>
        <w:tc>
          <w:tcPr>
            <w:tcW w:w="0" w:type="auto"/>
            <w:vMerge/>
            <w:tcBorders>
              <w:top w:val="single" w:sz="8" w:space="0" w:color="FFFFFF"/>
              <w:left w:val="single" w:sz="8" w:space="0" w:color="auto"/>
              <w:bottom w:val="single" w:sz="4" w:space="0" w:color="auto"/>
              <w:right w:val="single" w:sz="8" w:space="0" w:color="auto"/>
            </w:tcBorders>
            <w:vAlign w:val="center"/>
            <w:hideMark/>
          </w:tcPr>
          <w:p w:rsidR="000E1AA0" w:rsidP="00FE6BB7">
            <w:pPr>
              <w:spacing w:after="0" w:line="240" w:lineRule="auto"/>
              <w:rPr>
                <w:rFonts w:ascii="Arial Narrow" w:eastAsia="Times New Roman" w:hAnsi="Arial Narrow"/>
                <w:b/>
                <w:bCs/>
                <w:color w:val="FFFFFF"/>
                <w:sz w:val="19"/>
                <w:szCs w:val="19"/>
              </w:rPr>
            </w:pPr>
          </w:p>
        </w:tc>
      </w:tr>
      <w:tr w:rsidTr="00F76023">
        <w:tblPrEx>
          <w:tblW w:w="0" w:type="auto"/>
          <w:tblCellMar>
            <w:left w:w="0" w:type="dxa"/>
            <w:right w:w="0" w:type="dxa"/>
          </w:tblCellMar>
          <w:tblLook w:val="04A0"/>
        </w:tblPrEx>
        <w:trPr>
          <w:trHeight w:val="331"/>
        </w:trPr>
        <w:tc>
          <w:tcPr>
            <w:tcW w:w="1201" w:type="dxa"/>
            <w:tcBorders>
              <w:top w:val="single" w:sz="8" w:space="0" w:color="auto"/>
              <w:left w:val="single" w:sz="8" w:space="0" w:color="auto"/>
              <w:bottom w:val="single" w:sz="8" w:space="0" w:color="auto"/>
              <w:right w:val="single" w:sz="8" w:space="0" w:color="auto"/>
            </w:tcBorders>
            <w:shd w:val="clear" w:color="auto" w:fill="DCEFFC"/>
            <w:tcMar>
              <w:top w:w="0" w:type="dxa"/>
              <w:left w:w="108" w:type="dxa"/>
              <w:bottom w:w="0" w:type="dxa"/>
              <w:right w:w="108" w:type="dxa"/>
            </w:tcMar>
            <w:hideMark/>
          </w:tcPr>
          <w:p w:rsidR="00FA2DA0" w:rsidP="00FE6BB7">
            <w:pPr>
              <w:pStyle w:val="DisclaimerHeading"/>
              <w:spacing w:before="40" w:after="40" w:line="220" w:lineRule="exact"/>
              <w:rPr>
                <w:b w:val="0"/>
                <w:bCs/>
                <w:color w:val="auto"/>
                <w:sz w:val="18"/>
                <w:szCs w:val="18"/>
              </w:rPr>
            </w:pPr>
            <w:r>
              <w:rPr>
                <w:b w:val="0"/>
                <w:bCs/>
                <w:color w:val="auto"/>
                <w:sz w:val="18"/>
                <w:szCs w:val="18"/>
              </w:rPr>
              <w:t>12/5/2022</w:t>
            </w:r>
          </w:p>
        </w:tc>
        <w:tc>
          <w:tcPr>
            <w:tcW w:w="176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A2DA0" w:rsidP="00FE6BB7">
            <w:pPr>
              <w:pStyle w:val="DisclaimerHeading"/>
              <w:spacing w:before="40" w:after="40" w:line="220" w:lineRule="exact"/>
              <w:rPr>
                <w:b w:val="0"/>
                <w:bCs/>
                <w:color w:val="auto"/>
                <w:sz w:val="18"/>
                <w:szCs w:val="18"/>
              </w:rPr>
            </w:pPr>
            <w:r>
              <w:rPr>
                <w:b w:val="0"/>
                <w:bCs/>
                <w:color w:val="auto"/>
                <w:sz w:val="18"/>
                <w:szCs w:val="18"/>
              </w:rPr>
              <w:t>1:00 pm to 4:00 pm</w:t>
            </w:r>
          </w:p>
        </w:tc>
        <w:tc>
          <w:tcPr>
            <w:tcW w:w="297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A2DA0" w:rsidP="00FE6BB7">
            <w:pPr>
              <w:pStyle w:val="AttendeesList"/>
              <w:spacing w:before="40" w:after="40" w:line="220" w:lineRule="exact"/>
              <w:rPr>
                <w:szCs w:val="18"/>
              </w:rPr>
            </w:pPr>
            <w:r>
              <w:t>WebEx / Teleconference</w:t>
            </w:r>
          </w:p>
        </w:tc>
        <w:tc>
          <w:tcPr>
            <w:tcW w:w="181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A2DA0" w:rsidP="00FE6BB7">
            <w:pPr>
              <w:pStyle w:val="DisclaimerHeading"/>
              <w:spacing w:before="40" w:after="40" w:line="220" w:lineRule="exact"/>
              <w:jc w:val="center"/>
              <w:rPr>
                <w:b w:val="0"/>
                <w:color w:val="auto"/>
                <w:sz w:val="18"/>
                <w:szCs w:val="18"/>
              </w:rPr>
            </w:pPr>
            <w:r>
              <w:rPr>
                <w:b w:val="0"/>
                <w:bCs/>
                <w:color w:val="auto"/>
                <w:sz w:val="18"/>
                <w:szCs w:val="18"/>
              </w:rPr>
              <w:t>11/22/2022</w:t>
            </w:r>
          </w:p>
        </w:tc>
        <w:tc>
          <w:tcPr>
            <w:tcW w:w="152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A2DA0" w:rsidP="00FE6BB7">
            <w:pPr>
              <w:pStyle w:val="DisclaimerHeading"/>
              <w:spacing w:before="40" w:after="40" w:line="220" w:lineRule="exact"/>
              <w:jc w:val="center"/>
              <w:rPr>
                <w:b w:val="0"/>
                <w:bCs/>
                <w:color w:val="auto"/>
                <w:sz w:val="18"/>
                <w:szCs w:val="18"/>
              </w:rPr>
            </w:pPr>
            <w:r>
              <w:rPr>
                <w:b w:val="0"/>
                <w:bCs/>
                <w:color w:val="auto"/>
                <w:sz w:val="18"/>
                <w:szCs w:val="18"/>
              </w:rPr>
              <w:t>11/30/2022</w:t>
            </w:r>
          </w:p>
        </w:tc>
      </w:tr>
    </w:tbl>
    <w:p w:rsidR="000E1AA0" w:rsidP="00BB6C29">
      <w:pPr>
        <w:pStyle w:val="Author"/>
      </w:pPr>
    </w:p>
    <w:p w:rsidR="000E1AA0" w:rsidP="00BB6C29">
      <w:pPr>
        <w:pStyle w:val="Author"/>
      </w:pPr>
    </w:p>
    <w:p w:rsidR="00BB6C29" w:rsidP="00BB6C29">
      <w:pPr>
        <w:pStyle w:val="Author"/>
      </w:pPr>
      <w:r>
        <w:t xml:space="preserve">Author: </w:t>
      </w:r>
      <w:r w:rsidR="00375A27">
        <w:t>Shane Watts</w:t>
      </w:r>
    </w:p>
    <w:p w:rsidR="00BB6C29" w:rsidP="00BB6C29">
      <w:pPr>
        <w:pStyle w:val="Author"/>
      </w:pPr>
    </w:p>
    <w:p w:rsidR="00BB6C29" w:rsidRPr="00B62597" w:rsidP="00BB6C29">
      <w:pPr>
        <w:pStyle w:val="DisclaimerHeading"/>
      </w:pPr>
      <w:r>
        <w:t>Anti</w:t>
      </w:r>
      <w:r w:rsidRPr="00B62597">
        <w:t>trust:</w:t>
      </w:r>
    </w:p>
    <w:p w:rsidR="00BB6C29" w:rsidRPr="00B62597" w:rsidP="00BB6C29">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B6C29" w:rsidRPr="00B62597" w:rsidP="00BB6C29">
      <w:pPr>
        <w:spacing w:after="0" w:line="240" w:lineRule="auto"/>
        <w:rPr>
          <w:rFonts w:ascii="Arial Narrow" w:eastAsia="Times New Roman" w:hAnsi="Arial Narrow" w:cs="Times New Roman"/>
          <w:sz w:val="16"/>
          <w:szCs w:val="16"/>
        </w:rPr>
      </w:pPr>
    </w:p>
    <w:p w:rsidR="00BB6C29" w:rsidRPr="00B62597" w:rsidP="00BB6C29">
      <w:pPr>
        <w:pStyle w:val="DisclosureTitle"/>
      </w:pPr>
      <w:r w:rsidRPr="00B62597">
        <w:t>Code of Conduct:</w:t>
      </w:r>
    </w:p>
    <w:p w:rsidR="00BB6C29" w:rsidRPr="00B62597" w:rsidP="00BB6C29">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B6C29" w:rsidRPr="00B62597" w:rsidP="00BB6C29">
      <w:pPr>
        <w:spacing w:after="0" w:line="240" w:lineRule="auto"/>
        <w:rPr>
          <w:rFonts w:ascii="Arial Narrow" w:eastAsia="Times New Roman" w:hAnsi="Arial Narrow" w:cs="Times New Roman"/>
          <w:sz w:val="18"/>
          <w:szCs w:val="18"/>
        </w:rPr>
      </w:pPr>
    </w:p>
    <w:p w:rsidR="00BB6C29" w:rsidRPr="00B62597" w:rsidP="00BB6C29">
      <w:pPr>
        <w:pStyle w:val="DisclosureTitle"/>
      </w:pPr>
      <w:r w:rsidRPr="00B62597">
        <w:t xml:space="preserve">Public Meetings/Media Participation: </w:t>
      </w:r>
    </w:p>
    <w:p w:rsidR="00BB6C29" w:rsidP="00BB6C29">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BB6C29" w:rsidP="00BB6C29">
      <w:pPr>
        <w:pStyle w:val="DisclaimerHeading"/>
        <w:spacing w:before="240"/>
      </w:pPr>
      <w:r>
        <w:t>Participant Identification in WebEx:</w:t>
      </w:r>
    </w:p>
    <w:p w:rsidR="00BB6C29" w:rsidP="00BB6C29">
      <w:pPr>
        <w:pStyle w:val="DisclaimerBodyCopy"/>
      </w:pPr>
      <w:r>
        <w:t>When logging into the WebEx desktop client, please enter your real first and last name as well as a valid email address. Be sure to select the “call me” option.</w:t>
      </w:r>
    </w:p>
    <w:p w:rsidR="00BB6C29" w:rsidP="00BB6C29">
      <w:pPr>
        <w:pStyle w:val="DisclaimerBodyCopy"/>
      </w:pPr>
      <w:r>
        <w:t>PJM support staff continuously monitors WebEx connections during stakeholder meetings. Anonymous users or those using false usernames or emails will be dropped from the teleconference.</w:t>
      </w:r>
    </w:p>
    <w:p w:rsidR="00BB6C29" w:rsidP="00BB6C29">
      <w:pPr>
        <w:pStyle w:val="DisclosureBody"/>
      </w:pPr>
    </w:p>
    <w:p w:rsidR="00BB6C29" w:rsidP="00BB6C2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5"/>
                    <a:stretch>
                      <a:fillRect/>
                    </a:stretch>
                  </pic:blipFill>
                  <pic:spPr>
                    <a:xfrm>
                      <a:off x="0" y="0"/>
                      <a:ext cx="5943600" cy="983615"/>
                    </a:xfrm>
                    <a:prstGeom prst="rect">
                      <a:avLst/>
                    </a:prstGeom>
                  </pic:spPr>
                </pic:pic>
              </a:graphicData>
            </a:graphic>
          </wp:inline>
        </w:drawing>
      </w:r>
    </w:p>
    <w:p w:rsidR="00BB6C29" w:rsidP="00BB6C29">
      <w:pPr>
        <w:pStyle w:val="DisclaimerHeading"/>
      </w:pPr>
    </w:p>
    <w:p w:rsidR="00BB6C29" w:rsidRPr="009C15C4" w:rsidP="00BB6C2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6"/>
                    <a:stretch>
                      <a:fillRect/>
                    </a:stretch>
                  </pic:blipFill>
                  <pic:spPr>
                    <a:xfrm>
                      <a:off x="0" y="0"/>
                      <a:ext cx="5943600" cy="1217930"/>
                    </a:xfrm>
                    <a:prstGeom prst="rect">
                      <a:avLst/>
                    </a:prstGeom>
                  </pic:spPr>
                </pic:pic>
              </a:graphicData>
            </a:graphic>
          </wp:inline>
        </w:drawing>
      </w:r>
    </w:p>
    <w:p w:rsidR="00BB6C29" w:rsidRPr="009C15C4" w:rsidP="00BB6C29"/>
    <w:p w:rsidR="00BB6C29" w:rsidRPr="009C15C4" w:rsidP="00BB6C29"/>
    <w:p w:rsidR="00BB6C29" w:rsidRPr="009C15C4" w:rsidP="00BB6C29">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B6C29" w:rsidRPr="0025139E" w:rsidP="00BB6C29">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BB6C29" w:rsidRPr="0025139E" w:rsidP="00BB6C29">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p w:rsidR="00BB6C29" w:rsidRPr="00B62597" w:rsidP="00BB6C29">
      <w:pPr>
        <w:pStyle w:val="Author"/>
      </w:pPr>
    </w:p>
    <w:p w:rsidR="0057441E" w:rsidRPr="009C15C4" w:rsidP="00BB6C29">
      <w:pPr>
        <w:pStyle w:val="MeetingDetails"/>
      </w:pPr>
    </w:p>
    <w:sectPr w:rsidSect="001678E8">
      <w:headerReference w:type="default" r:id="rId9"/>
      <w:footerReference w:type="even" r:id="rId10"/>
      <w:footerReference w:type="default" r:id="rId11"/>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BA24C6">
      <w:rPr>
        <w:rStyle w:val="PageNumber"/>
        <w:noProof/>
      </w:rPr>
      <w:t>2</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F757E1">
      <w:rPr>
        <w:rFonts w:ascii="Arial Narrow" w:hAnsi="Arial Narrow"/>
        <w:sz w:val="20"/>
      </w:rPr>
      <w:t>2</w:t>
    </w:r>
    <w:r w:rsidR="00375A27">
      <w:rPr>
        <w:rFonts w:ascii="Arial Narrow" w:hAnsi="Arial Narrow"/>
        <w:sz w:val="20"/>
      </w:rPr>
      <w:t>2</w:t>
    </w:r>
    <w:r w:rsidR="00991528">
      <w:rPr>
        <w:rFonts w:ascii="Arial Narrow" w:hAnsi="Arial Narrow"/>
        <w:sz w:val="20"/>
      </w:rPr>
      <w:tab/>
    </w:r>
    <w:r w:rsidR="000232DF">
      <w:rPr>
        <w:rFonts w:ascii="Arial Narrow" w:hAnsi="Arial Narrow"/>
        <w:sz w:val="20"/>
      </w:rPr>
      <w:t xml:space="preserve">For Public </w:t>
    </w:r>
    <w:r w:rsidR="00BB6C29">
      <w:rPr>
        <w:rFonts w:ascii="Arial Narrow" w:hAnsi="Arial Narrow"/>
        <w:sz w:val="20"/>
      </w:rPr>
      <w:t>Use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528BA26"/>
    <w:lvl w:ilvl="0">
      <w:start w:val="1"/>
      <w:numFmt w:val="upperLetter"/>
      <w:pStyle w:val="ListedItem"/>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38A43A6"/>
    <w:multiLevelType w:val="hybridMultilevel"/>
    <w:tmpl w:val="519C5CE4"/>
    <w:lvl w:ilvl="0">
      <w:start w:val="4"/>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17C21B91"/>
    <w:multiLevelType w:val="multilevel"/>
    <w:tmpl w:val="58AC4C76"/>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19657E43"/>
    <w:multiLevelType w:val="hybridMultilevel"/>
    <w:tmpl w:val="238AC0C6"/>
    <w:lvl w:ilvl="0">
      <w:start w:val="1"/>
      <w:numFmt w:val="decimal"/>
      <w:pStyle w:val="SecondaryNumberedHeading"/>
      <w:lvlText w:val="%1."/>
      <w:lvlJc w:val="left"/>
      <w:pPr>
        <w:ind w:left="360" w:hanging="360"/>
      </w:p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31E86087"/>
    <w:multiLevelType w:val="hybridMultilevel"/>
    <w:tmpl w:val="2C9CB742"/>
    <w:lvl w:ilvl="0">
      <w:start w:val="1"/>
      <w:numFmt w:val="decimal"/>
      <w:pStyle w:val="ListSubhead1"/>
      <w:lvlText w:val="%1."/>
      <w:lvlJc w:val="left"/>
      <w:pPr>
        <w:ind w:left="540" w:hanging="360"/>
      </w:pPr>
      <w:rPr>
        <w:b w:val="0"/>
      </w:rPr>
    </w:lvl>
    <w:lvl w:ilvl="1">
      <w:start w:val="1"/>
      <w:numFmt w:val="lowerLetter"/>
      <w:lvlText w:val="%2."/>
      <w:lvlJc w:val="left"/>
      <w:pPr>
        <w:ind w:left="-8748" w:hanging="72"/>
      </w:pPr>
      <w:rPr>
        <w:rFonts w:hint="default"/>
      </w:rPr>
    </w:lvl>
    <w:lvl w:ilvl="2" w:tentative="1">
      <w:start w:val="1"/>
      <w:numFmt w:val="lowerRoman"/>
      <w:lvlText w:val="%3."/>
      <w:lvlJc w:val="right"/>
      <w:pPr>
        <w:ind w:left="1980" w:hanging="180"/>
      </w:pPr>
    </w:lvl>
    <w:lvl w:ilvl="3" w:tentative="1">
      <w:start w:val="1"/>
      <w:numFmt w:val="decimal"/>
      <w:lvlText w:val="%4."/>
      <w:lvlJc w:val="left"/>
      <w:pPr>
        <w:ind w:left="2700" w:hanging="360"/>
      </w:pPr>
    </w:lvl>
    <w:lvl w:ilvl="4" w:tentative="1">
      <w:start w:val="1"/>
      <w:numFmt w:val="lowerLetter"/>
      <w:lvlText w:val="%5."/>
      <w:lvlJc w:val="left"/>
      <w:pPr>
        <w:ind w:left="3420" w:hanging="360"/>
      </w:pPr>
    </w:lvl>
    <w:lvl w:ilvl="5" w:tentative="1">
      <w:start w:val="1"/>
      <w:numFmt w:val="lowerRoman"/>
      <w:lvlText w:val="%6."/>
      <w:lvlJc w:val="right"/>
      <w:pPr>
        <w:ind w:left="4140" w:hanging="180"/>
      </w:pPr>
    </w:lvl>
    <w:lvl w:ilvl="6" w:tentative="1">
      <w:start w:val="1"/>
      <w:numFmt w:val="decimal"/>
      <w:lvlText w:val="%7."/>
      <w:lvlJc w:val="left"/>
      <w:pPr>
        <w:ind w:left="4860" w:hanging="360"/>
      </w:pPr>
    </w:lvl>
    <w:lvl w:ilvl="7" w:tentative="1">
      <w:start w:val="1"/>
      <w:numFmt w:val="lowerLetter"/>
      <w:lvlText w:val="%8."/>
      <w:lvlJc w:val="left"/>
      <w:pPr>
        <w:ind w:left="5580" w:hanging="360"/>
      </w:pPr>
    </w:lvl>
    <w:lvl w:ilvl="8" w:tentative="1">
      <w:start w:val="1"/>
      <w:numFmt w:val="lowerRoman"/>
      <w:lvlText w:val="%9."/>
      <w:lvlJc w:val="right"/>
      <w:pPr>
        <w:ind w:left="6300" w:hanging="180"/>
      </w:pPr>
    </w:lvl>
  </w:abstractNum>
  <w:abstractNum w:abstractNumId="7">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4268543C"/>
    <w:multiLevelType w:val="hybridMultilevel"/>
    <w:tmpl w:val="519C5CE4"/>
    <w:lvl w:ilvl="0">
      <w:start w:val="4"/>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43A430C6"/>
    <w:multiLevelType w:val="hybridMultilevel"/>
    <w:tmpl w:val="9910A5E6"/>
    <w:lvl w:ilvl="0">
      <w:start w:val="1"/>
      <w:numFmt w:val="low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0">
    <w:nsid w:val="606D1087"/>
    <w:multiLevelType w:val="hybridMultilevel"/>
    <w:tmpl w:val="C1BAB816"/>
    <w:lvl w:ilvl="0">
      <w:start w:val="4"/>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2">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1"/>
  </w:num>
  <w:num w:numId="2">
    <w:abstractNumId w:val="7"/>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num>
  <w:num w:numId="5">
    <w:abstractNumId w:val="12"/>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3"/>
  </w:num>
  <w:num w:numId="9">
    <w:abstractNumId w:val="5"/>
  </w:num>
  <w:num w:numId="10">
    <w:abstractNumId w:val="0"/>
  </w:num>
  <w:num w:numId="11">
    <w:abstractNumId w:val="6"/>
  </w:num>
  <w:num w:numId="12">
    <w:abstractNumId w:val="4"/>
  </w:num>
  <w:num w:numId="13">
    <w:abstractNumId w:val="3"/>
  </w:num>
  <w:num w:numId="14">
    <w:abstractNumId w:val="2"/>
  </w:num>
  <w:num w:numId="15">
    <w:abstractNumId w:val="10"/>
  </w:num>
  <w:num w:numId="16">
    <w:abstractNumId w:val="1"/>
  </w:num>
  <w:num w:numId="17">
    <w:abstractNumId w:val="8"/>
  </w:num>
  <w:num w:numId="18">
    <w:abstractNumId w:val="0"/>
  </w:num>
  <w:num w:numId="19">
    <w:abstractNumId w:val="0"/>
  </w:num>
  <w:num w:numId="20">
    <w:abstractNumId w:val="0"/>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64"/>
  <w:proofState w:spelling="clean" w:grammar="clean"/>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C29"/>
    <w:rsid w:val="00002405"/>
    <w:rsid w:val="00010057"/>
    <w:rsid w:val="000175BE"/>
    <w:rsid w:val="000232DF"/>
    <w:rsid w:val="00027F49"/>
    <w:rsid w:val="000333FF"/>
    <w:rsid w:val="000541E5"/>
    <w:rsid w:val="00056387"/>
    <w:rsid w:val="0006385E"/>
    <w:rsid w:val="00066234"/>
    <w:rsid w:val="0008212E"/>
    <w:rsid w:val="00092135"/>
    <w:rsid w:val="000B053D"/>
    <w:rsid w:val="000D3242"/>
    <w:rsid w:val="000D688A"/>
    <w:rsid w:val="000E1AA0"/>
    <w:rsid w:val="000E71C6"/>
    <w:rsid w:val="00110112"/>
    <w:rsid w:val="00137926"/>
    <w:rsid w:val="001578BE"/>
    <w:rsid w:val="001678E8"/>
    <w:rsid w:val="001A286F"/>
    <w:rsid w:val="001B2242"/>
    <w:rsid w:val="001B3655"/>
    <w:rsid w:val="001C0CC0"/>
    <w:rsid w:val="001D3B68"/>
    <w:rsid w:val="001D4B88"/>
    <w:rsid w:val="001F24C7"/>
    <w:rsid w:val="002113BD"/>
    <w:rsid w:val="0025139E"/>
    <w:rsid w:val="00275B29"/>
    <w:rsid w:val="00281737"/>
    <w:rsid w:val="00295A25"/>
    <w:rsid w:val="002A63D0"/>
    <w:rsid w:val="002B2F98"/>
    <w:rsid w:val="002C6057"/>
    <w:rsid w:val="00304A98"/>
    <w:rsid w:val="00305238"/>
    <w:rsid w:val="0032216E"/>
    <w:rsid w:val="003230DC"/>
    <w:rsid w:val="003251CE"/>
    <w:rsid w:val="00337321"/>
    <w:rsid w:val="003441FE"/>
    <w:rsid w:val="0035372A"/>
    <w:rsid w:val="00372921"/>
    <w:rsid w:val="00375A27"/>
    <w:rsid w:val="00393D0C"/>
    <w:rsid w:val="003A6149"/>
    <w:rsid w:val="003B55E1"/>
    <w:rsid w:val="003C17E2"/>
    <w:rsid w:val="003C44EA"/>
    <w:rsid w:val="003D7E5C"/>
    <w:rsid w:val="003E12A4"/>
    <w:rsid w:val="003E7A73"/>
    <w:rsid w:val="0046043F"/>
    <w:rsid w:val="00465417"/>
    <w:rsid w:val="004710EE"/>
    <w:rsid w:val="00471C29"/>
    <w:rsid w:val="00491490"/>
    <w:rsid w:val="00494494"/>
    <w:rsid w:val="004969FA"/>
    <w:rsid w:val="004B6ABE"/>
    <w:rsid w:val="004E55C6"/>
    <w:rsid w:val="004F3D8F"/>
    <w:rsid w:val="00513397"/>
    <w:rsid w:val="00517960"/>
    <w:rsid w:val="00527104"/>
    <w:rsid w:val="00544835"/>
    <w:rsid w:val="00556582"/>
    <w:rsid w:val="00564DEE"/>
    <w:rsid w:val="0057441E"/>
    <w:rsid w:val="005A5D0D"/>
    <w:rsid w:val="005D6D05"/>
    <w:rsid w:val="005E7161"/>
    <w:rsid w:val="006024A0"/>
    <w:rsid w:val="00602967"/>
    <w:rsid w:val="00606F11"/>
    <w:rsid w:val="0062437D"/>
    <w:rsid w:val="00626CD3"/>
    <w:rsid w:val="006614DA"/>
    <w:rsid w:val="006E19F6"/>
    <w:rsid w:val="006E46F5"/>
    <w:rsid w:val="006F7A52"/>
    <w:rsid w:val="00712CAA"/>
    <w:rsid w:val="00716A8B"/>
    <w:rsid w:val="00734C4C"/>
    <w:rsid w:val="00744A45"/>
    <w:rsid w:val="007503F1"/>
    <w:rsid w:val="00754C6D"/>
    <w:rsid w:val="00755096"/>
    <w:rsid w:val="007610AC"/>
    <w:rsid w:val="007703B4"/>
    <w:rsid w:val="00781EF5"/>
    <w:rsid w:val="00797177"/>
    <w:rsid w:val="007A34A3"/>
    <w:rsid w:val="007C2954"/>
    <w:rsid w:val="007C59D1"/>
    <w:rsid w:val="007C5AD1"/>
    <w:rsid w:val="007C6635"/>
    <w:rsid w:val="007C72B8"/>
    <w:rsid w:val="007D4F70"/>
    <w:rsid w:val="007E2DA2"/>
    <w:rsid w:val="007E7CAB"/>
    <w:rsid w:val="00837B12"/>
    <w:rsid w:val="00841282"/>
    <w:rsid w:val="00846195"/>
    <w:rsid w:val="008552A3"/>
    <w:rsid w:val="00870317"/>
    <w:rsid w:val="00882652"/>
    <w:rsid w:val="00893A06"/>
    <w:rsid w:val="008E7E28"/>
    <w:rsid w:val="008F2D81"/>
    <w:rsid w:val="00917386"/>
    <w:rsid w:val="00944083"/>
    <w:rsid w:val="00947B00"/>
    <w:rsid w:val="009553D8"/>
    <w:rsid w:val="00967E94"/>
    <w:rsid w:val="009757F8"/>
    <w:rsid w:val="00991528"/>
    <w:rsid w:val="009A5430"/>
    <w:rsid w:val="009C15C4"/>
    <w:rsid w:val="009D31E2"/>
    <w:rsid w:val="009F53F9"/>
    <w:rsid w:val="00A05391"/>
    <w:rsid w:val="00A17075"/>
    <w:rsid w:val="00A228A1"/>
    <w:rsid w:val="00A317A9"/>
    <w:rsid w:val="00A41149"/>
    <w:rsid w:val="00A90C56"/>
    <w:rsid w:val="00AB0DD7"/>
    <w:rsid w:val="00AC2247"/>
    <w:rsid w:val="00AC7960"/>
    <w:rsid w:val="00AE7A31"/>
    <w:rsid w:val="00B02B8E"/>
    <w:rsid w:val="00B04D07"/>
    <w:rsid w:val="00B07F85"/>
    <w:rsid w:val="00B16D95"/>
    <w:rsid w:val="00B20316"/>
    <w:rsid w:val="00B34E3C"/>
    <w:rsid w:val="00B62597"/>
    <w:rsid w:val="00B658C7"/>
    <w:rsid w:val="00BA24C6"/>
    <w:rsid w:val="00BA6146"/>
    <w:rsid w:val="00BB531B"/>
    <w:rsid w:val="00BB6C29"/>
    <w:rsid w:val="00BC2E97"/>
    <w:rsid w:val="00BD0DF7"/>
    <w:rsid w:val="00BD170F"/>
    <w:rsid w:val="00BF331B"/>
    <w:rsid w:val="00C04DBF"/>
    <w:rsid w:val="00C32A02"/>
    <w:rsid w:val="00C439EC"/>
    <w:rsid w:val="00C5307B"/>
    <w:rsid w:val="00C72168"/>
    <w:rsid w:val="00C72D6C"/>
    <w:rsid w:val="00C757F4"/>
    <w:rsid w:val="00C75A9D"/>
    <w:rsid w:val="00CA49B9"/>
    <w:rsid w:val="00CB19DE"/>
    <w:rsid w:val="00CB475B"/>
    <w:rsid w:val="00CC1B47"/>
    <w:rsid w:val="00D06EC8"/>
    <w:rsid w:val="00D136EA"/>
    <w:rsid w:val="00D251ED"/>
    <w:rsid w:val="00D831E4"/>
    <w:rsid w:val="00D95949"/>
    <w:rsid w:val="00DA3C03"/>
    <w:rsid w:val="00DB29E9"/>
    <w:rsid w:val="00DE34CF"/>
    <w:rsid w:val="00DF5A39"/>
    <w:rsid w:val="00E073AE"/>
    <w:rsid w:val="00E10D12"/>
    <w:rsid w:val="00E1373D"/>
    <w:rsid w:val="00E1605D"/>
    <w:rsid w:val="00E17F16"/>
    <w:rsid w:val="00E22239"/>
    <w:rsid w:val="00E32B6B"/>
    <w:rsid w:val="00E466B1"/>
    <w:rsid w:val="00E5387A"/>
    <w:rsid w:val="00E544EF"/>
    <w:rsid w:val="00E55E84"/>
    <w:rsid w:val="00E60166"/>
    <w:rsid w:val="00EB5C09"/>
    <w:rsid w:val="00EB68B0"/>
    <w:rsid w:val="00F35B4B"/>
    <w:rsid w:val="00F4190F"/>
    <w:rsid w:val="00F72E79"/>
    <w:rsid w:val="00F744CF"/>
    <w:rsid w:val="00F757E1"/>
    <w:rsid w:val="00F817C4"/>
    <w:rsid w:val="00F8180F"/>
    <w:rsid w:val="00F9083D"/>
    <w:rsid w:val="00F91E86"/>
    <w:rsid w:val="00FA2DA0"/>
    <w:rsid w:val="00FB27A7"/>
    <w:rsid w:val="00FB43D1"/>
    <w:rsid w:val="00FC2B9A"/>
    <w:rsid w:val="00FE6BB7"/>
    <w:rsid w:val="00FF3ED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FB3B80E"/>
  <w15:docId w15:val="{FA77A749-5298-4D4C-82D7-C8618AB4C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B6C29"/>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SecondaryNumberedHeading">
    <w:name w:val="Secondary Numbered Heading"/>
    <w:basedOn w:val="ListSubhead1"/>
    <w:link w:val="SecondaryNumberedHeadingChar"/>
    <w:qFormat/>
    <w:rsid w:val="00BB6C29"/>
    <w:pPr>
      <w:numPr>
        <w:numId w:val="13"/>
      </w:numPr>
    </w:pPr>
    <w:rPr>
      <w:b w:val="0"/>
    </w:rPr>
  </w:style>
  <w:style w:type="character" w:customStyle="1" w:styleId="SecondaryNumberedHeadingChar">
    <w:name w:val="Secondary Numbered Heading Char"/>
    <w:basedOn w:val="ListSubhead1Char"/>
    <w:link w:val="SecondaryNumberedHeading"/>
    <w:rsid w:val="00BB6C29"/>
    <w:rPr>
      <w:rFonts w:ascii="Arial Narrow" w:eastAsia="Times New Roman" w:hAnsi="Arial Narrow" w:cs="Times New Roman"/>
      <w:b w:val="0"/>
      <w:sz w:val="24"/>
    </w:rPr>
  </w:style>
  <w:style w:type="character" w:customStyle="1" w:styleId="AttendeesListChar">
    <w:name w:val="Attendees List Char"/>
    <w:basedOn w:val="DefaultParagraphFont"/>
    <w:link w:val="AttendeesList"/>
    <w:locked/>
    <w:rsid w:val="000E1AA0"/>
    <w:rPr>
      <w:rFonts w:ascii="Arial Narrow" w:eastAsia="Times New Roman" w:hAnsi="Arial Narrow" w:cs="Times New Roman"/>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emf" /><Relationship Id="rId5" Type="http://schemas.openxmlformats.org/officeDocument/2006/relationships/image" Target="media/image2.png" /><Relationship Id="rId6" Type="http://schemas.openxmlformats.org/officeDocument/2006/relationships/image" Target="media/image3.png" /><Relationship Id="rId7" Type="http://schemas.openxmlformats.org/officeDocument/2006/relationships/hyperlink" Target="https://www.pjm.com/committees-and-groups/committees/form-facilitator-feedback.aspx" TargetMode="External" /><Relationship Id="rId8" Type="http://schemas.openxmlformats.org/officeDocument/2006/relationships/hyperlink" Target="https://learn.pjm.com/" TargetMode="External" /><Relationship Id="rId9" Type="http://schemas.openxmlformats.org/officeDocument/2006/relationships/header" Target="header1.xml" /></Relationships>
</file>

<file path=word/_rels/header1.xml.rels><?xml version="1.0" encoding="utf-8" standalone="yes"?><Relationships xmlns="http://schemas.openxmlformats.org/package/2006/relationships"><Relationship Id="rId1" Type="http://schemas.openxmlformats.org/officeDocument/2006/relationships/image" Target="media/image4.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thomah\AppData\Local\Microsoft\Windows\INetCache\IE\X76BYX0U\Agenda%20(Non%20Operator%20Assisted%20Call).dotx" TargetMode="External"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