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93F18" w14:textId="77777777" w:rsidR="00F9556F" w:rsidRPr="007C343A" w:rsidRDefault="00F9556F" w:rsidP="00FC6991">
      <w:pPr>
        <w:pStyle w:val="Title"/>
        <w:spacing w:before="60" w:after="120"/>
        <w:rPr>
          <w:sz w:val="48"/>
        </w:rPr>
      </w:pPr>
      <w:bookmarkStart w:id="0" w:name="_GoBack"/>
      <w:bookmarkEnd w:id="0"/>
      <w:r w:rsidRPr="007C343A">
        <w:rPr>
          <w:sz w:val="48"/>
        </w:rPr>
        <w:t>Agenda</w:t>
      </w:r>
    </w:p>
    <w:p w14:paraId="74C2DE59" w14:textId="5B6E2F96" w:rsidR="00C44690" w:rsidRPr="00637E06" w:rsidRDefault="00C44690" w:rsidP="00D058D7">
      <w:pPr>
        <w:pStyle w:val="Heading2"/>
        <w:spacing w:line="320" w:lineRule="exact"/>
        <w:jc w:val="center"/>
        <w:rPr>
          <w:rFonts w:ascii="Arial" w:hAnsi="Arial" w:cs="Arial"/>
          <w:b w:val="0"/>
          <w:i w:val="0"/>
          <w:sz w:val="14"/>
          <w:szCs w:val="24"/>
        </w:rPr>
      </w:pPr>
      <w:r w:rsidRPr="007C343A">
        <w:rPr>
          <w:rFonts w:ascii="Arial" w:hAnsi="Arial" w:cs="Arial"/>
          <w:i w:val="0"/>
          <w:color w:val="000000" w:themeColor="text1"/>
          <w:sz w:val="24"/>
          <w:szCs w:val="24"/>
        </w:rPr>
        <w:t>PJM General Session</w:t>
      </w:r>
      <w:r w:rsidR="001255E5" w:rsidRPr="007C343A">
        <w:rPr>
          <w:rFonts w:ascii="Arial" w:hAnsi="Arial" w:cs="Arial"/>
          <w:color w:val="000000" w:themeColor="text1"/>
          <w:sz w:val="24"/>
          <w:szCs w:val="24"/>
        </w:rPr>
        <w:br/>
      </w:r>
      <w:r w:rsidR="00970DC3" w:rsidRPr="007C343A">
        <w:rPr>
          <w:rFonts w:ascii="Arial" w:hAnsi="Arial" w:cs="Arial"/>
          <w:sz w:val="24"/>
          <w:szCs w:val="24"/>
        </w:rPr>
        <w:t>The Energy Transition – Opportunities and Challenges</w:t>
      </w:r>
    </w:p>
    <w:p w14:paraId="7A5ACB58" w14:textId="695F680A" w:rsidR="00F32A71" w:rsidRPr="00285852" w:rsidRDefault="00970DC3" w:rsidP="00285852">
      <w:pPr>
        <w:spacing w:line="240" w:lineRule="auto"/>
        <w:jc w:val="center"/>
        <w:rPr>
          <w:rStyle w:val="Strong"/>
          <w:rFonts w:cs="Arial"/>
          <w:b w:val="0"/>
          <w:sz w:val="20"/>
          <w:szCs w:val="24"/>
        </w:rPr>
      </w:pPr>
      <w:r w:rsidRPr="00285852">
        <w:rPr>
          <w:rStyle w:val="Strong"/>
          <w:rFonts w:cs="Arial"/>
          <w:b w:val="0"/>
          <w:sz w:val="20"/>
          <w:szCs w:val="24"/>
        </w:rPr>
        <w:t>Hyatt Regency Chesapeake Bay Golf Resort, Cambridge, MD</w:t>
      </w:r>
    </w:p>
    <w:p w14:paraId="74E7C418" w14:textId="450A53EA" w:rsidR="00F32A71" w:rsidRPr="00285852" w:rsidRDefault="000D2908" w:rsidP="00285852">
      <w:pPr>
        <w:spacing w:line="240" w:lineRule="auto"/>
        <w:jc w:val="center"/>
        <w:rPr>
          <w:rFonts w:ascii="Arial" w:hAnsi="Arial" w:cs="Arial"/>
          <w:color w:val="000000" w:themeColor="text1"/>
          <w:sz w:val="20"/>
          <w:szCs w:val="24"/>
        </w:rPr>
      </w:pPr>
      <w:r w:rsidRPr="00285852">
        <w:rPr>
          <w:rFonts w:ascii="Arial" w:hAnsi="Arial" w:cs="Arial"/>
          <w:color w:val="000000" w:themeColor="text1"/>
          <w:sz w:val="20"/>
          <w:szCs w:val="24"/>
        </w:rPr>
        <w:t>October 25</w:t>
      </w:r>
      <w:r w:rsidR="00F32A71" w:rsidRPr="00285852">
        <w:rPr>
          <w:rFonts w:ascii="Arial" w:hAnsi="Arial" w:cs="Arial"/>
          <w:color w:val="000000" w:themeColor="text1"/>
          <w:sz w:val="20"/>
          <w:szCs w:val="24"/>
        </w:rPr>
        <w:t xml:space="preserve">, 2022 | </w:t>
      </w:r>
      <w:r w:rsidR="00970DC3" w:rsidRPr="00285852">
        <w:rPr>
          <w:rFonts w:ascii="Arial" w:hAnsi="Arial" w:cs="Arial"/>
          <w:color w:val="000000" w:themeColor="text1"/>
          <w:sz w:val="20"/>
          <w:szCs w:val="24"/>
        </w:rPr>
        <w:t>9</w:t>
      </w:r>
      <w:r w:rsidR="00F32A71" w:rsidRPr="00285852">
        <w:rPr>
          <w:rFonts w:ascii="Arial" w:hAnsi="Arial" w:cs="Arial"/>
          <w:color w:val="000000" w:themeColor="text1"/>
          <w:sz w:val="20"/>
          <w:szCs w:val="24"/>
        </w:rPr>
        <w:t xml:space="preserve">:00 </w:t>
      </w:r>
      <w:r w:rsidR="00970DC3" w:rsidRPr="00285852">
        <w:rPr>
          <w:rFonts w:ascii="Arial" w:hAnsi="Arial" w:cs="Arial"/>
          <w:color w:val="000000" w:themeColor="text1"/>
          <w:sz w:val="20"/>
          <w:szCs w:val="24"/>
        </w:rPr>
        <w:t xml:space="preserve">a.m. </w:t>
      </w:r>
      <w:r w:rsidR="00F32A71" w:rsidRPr="00285852">
        <w:rPr>
          <w:rFonts w:ascii="Arial" w:hAnsi="Arial" w:cs="Arial"/>
          <w:color w:val="000000" w:themeColor="text1"/>
          <w:sz w:val="20"/>
          <w:szCs w:val="24"/>
        </w:rPr>
        <w:t xml:space="preserve">– </w:t>
      </w:r>
      <w:r w:rsidR="00970DC3" w:rsidRPr="00285852">
        <w:rPr>
          <w:rFonts w:ascii="Arial" w:hAnsi="Arial" w:cs="Arial"/>
          <w:color w:val="000000" w:themeColor="text1"/>
          <w:sz w:val="20"/>
          <w:szCs w:val="24"/>
        </w:rPr>
        <w:t>noon</w:t>
      </w:r>
      <w:r w:rsidR="00F32A71" w:rsidRPr="00285852">
        <w:rPr>
          <w:rFonts w:ascii="Arial" w:hAnsi="Arial" w:cs="Arial"/>
          <w:color w:val="000000" w:themeColor="text1"/>
          <w:sz w:val="20"/>
          <w:szCs w:val="24"/>
        </w:rPr>
        <w:t xml:space="preserve"> (</w:t>
      </w:r>
      <w:r w:rsidR="00891346">
        <w:rPr>
          <w:rFonts w:ascii="Arial" w:hAnsi="Arial" w:cs="Arial"/>
          <w:color w:val="000000" w:themeColor="text1"/>
          <w:sz w:val="20"/>
          <w:szCs w:val="24"/>
        </w:rPr>
        <w:t>Eastern</w:t>
      </w:r>
      <w:r w:rsidR="00F32A71" w:rsidRPr="00285852">
        <w:rPr>
          <w:rFonts w:ascii="Arial" w:hAnsi="Arial" w:cs="Arial"/>
          <w:color w:val="000000" w:themeColor="text1"/>
          <w:sz w:val="20"/>
          <w:szCs w:val="24"/>
        </w:rPr>
        <w:t>)</w:t>
      </w:r>
    </w:p>
    <w:p w14:paraId="056CBB81" w14:textId="77777777" w:rsidR="00A5405D" w:rsidRPr="00637E06" w:rsidRDefault="00A5405D" w:rsidP="001900AC">
      <w:pPr>
        <w:spacing w:line="240" w:lineRule="auto"/>
        <w:jc w:val="center"/>
        <w:rPr>
          <w:rFonts w:ascii="Arial" w:hAnsi="Arial" w:cs="Arial"/>
          <w:color w:val="000000" w:themeColor="text1"/>
          <w:sz w:val="14"/>
          <w:szCs w:val="24"/>
        </w:rPr>
      </w:pPr>
    </w:p>
    <w:tbl>
      <w:tblPr>
        <w:tblW w:w="10175" w:type="dxa"/>
        <w:tblInd w:w="-365" w:type="dxa"/>
        <w:tblCellMar>
          <w:top w:w="86" w:type="dxa"/>
          <w:left w:w="115" w:type="dxa"/>
          <w:bottom w:w="43" w:type="dxa"/>
          <w:right w:w="115" w:type="dxa"/>
        </w:tblCellMar>
        <w:tblLook w:val="04A0" w:firstRow="1" w:lastRow="0" w:firstColumn="1" w:lastColumn="0" w:noHBand="0" w:noVBand="1"/>
      </w:tblPr>
      <w:tblGrid>
        <w:gridCol w:w="818"/>
        <w:gridCol w:w="9357"/>
      </w:tblGrid>
      <w:tr w:rsidR="00FC6991" w:rsidRPr="009503ED" w14:paraId="74538478" w14:textId="77777777" w:rsidTr="003E0317">
        <w:trPr>
          <w:trHeight w:val="679"/>
        </w:trPr>
        <w:tc>
          <w:tcPr>
            <w:tcW w:w="818" w:type="dxa"/>
            <w:tcBorders>
              <w:bottom w:val="single" w:sz="4" w:space="0" w:color="auto"/>
            </w:tcBorders>
            <w:shd w:val="clear" w:color="auto" w:fill="CAEDFE"/>
          </w:tcPr>
          <w:p w14:paraId="663988D2" w14:textId="3190F868" w:rsidR="00FC6991" w:rsidRPr="009503ED" w:rsidRDefault="00B01683" w:rsidP="00B01683">
            <w:pPr>
              <w:pStyle w:val="Time"/>
              <w:rPr>
                <w:sz w:val="22"/>
                <w:szCs w:val="24"/>
                <w:shd w:val="clear" w:color="auto" w:fill="FFFFFF"/>
              </w:rPr>
            </w:pPr>
            <w:r w:rsidRPr="009503ED">
              <w:rPr>
                <w:sz w:val="24"/>
              </w:rPr>
              <w:t>9</w:t>
            </w:r>
            <w:r w:rsidR="00FC6991" w:rsidRPr="009503ED">
              <w:rPr>
                <w:sz w:val="24"/>
              </w:rPr>
              <w:t xml:space="preserve">:00 </w:t>
            </w:r>
            <w:r w:rsidRPr="009503ED">
              <w:rPr>
                <w:sz w:val="20"/>
              </w:rPr>
              <w:t>a</w:t>
            </w:r>
            <w:r w:rsidR="00FC6991" w:rsidRPr="009503ED">
              <w:rPr>
                <w:sz w:val="20"/>
              </w:rPr>
              <w:t>.m.</w:t>
            </w:r>
          </w:p>
        </w:tc>
        <w:tc>
          <w:tcPr>
            <w:tcW w:w="9357" w:type="dxa"/>
            <w:tcBorders>
              <w:bottom w:val="single" w:sz="4" w:space="0" w:color="auto"/>
            </w:tcBorders>
            <w:shd w:val="clear" w:color="auto" w:fill="CAEDFE"/>
          </w:tcPr>
          <w:p w14:paraId="1E5634E2" w14:textId="77777777" w:rsidR="00FC6991" w:rsidRPr="009503ED" w:rsidRDefault="00FC6991" w:rsidP="002A5D27">
            <w:pPr>
              <w:pStyle w:val="Tablesubtitle"/>
              <w:rPr>
                <w:sz w:val="28"/>
              </w:rPr>
            </w:pPr>
            <w:r w:rsidRPr="009503ED">
              <w:rPr>
                <w:sz w:val="28"/>
              </w:rPr>
              <w:t>Welcome</w:t>
            </w:r>
          </w:p>
          <w:p w14:paraId="0264E937" w14:textId="1A62230C" w:rsidR="00FC6991" w:rsidRPr="009503ED" w:rsidRDefault="00C44690" w:rsidP="00C44690">
            <w:pPr>
              <w:spacing w:after="0" w:line="240" w:lineRule="auto"/>
              <w:rPr>
                <w:szCs w:val="24"/>
                <w:shd w:val="clear" w:color="auto" w:fill="FFFFFF"/>
              </w:rPr>
            </w:pPr>
            <w:r w:rsidRPr="009503ED">
              <w:rPr>
                <w:rStyle w:val="SubtleEmphasis"/>
                <w:sz w:val="20"/>
              </w:rPr>
              <w:t>Erik Heinle</w:t>
            </w:r>
            <w:r w:rsidR="00FC6991" w:rsidRPr="009503ED">
              <w:rPr>
                <w:rStyle w:val="SubtleEmphasis"/>
                <w:sz w:val="20"/>
              </w:rPr>
              <w:t>,</w:t>
            </w:r>
            <w:r w:rsidR="00FC6991" w:rsidRPr="009503ED">
              <w:rPr>
                <w:color w:val="00B0F0" w:themeColor="accent3"/>
                <w:sz w:val="20"/>
              </w:rPr>
              <w:t xml:space="preserve"> </w:t>
            </w:r>
            <w:r w:rsidRPr="009503ED">
              <w:rPr>
                <w:sz w:val="20"/>
              </w:rPr>
              <w:t>Chair, Members Committee</w:t>
            </w:r>
          </w:p>
        </w:tc>
      </w:tr>
      <w:tr w:rsidR="00FC6991" w:rsidRPr="009503ED" w14:paraId="7E908336" w14:textId="77777777" w:rsidTr="003E0317">
        <w:trPr>
          <w:trHeight w:val="669"/>
        </w:trPr>
        <w:tc>
          <w:tcPr>
            <w:tcW w:w="818" w:type="dxa"/>
            <w:tcBorders>
              <w:top w:val="single" w:sz="4" w:space="0" w:color="auto"/>
              <w:bottom w:val="single" w:sz="4" w:space="0" w:color="auto"/>
            </w:tcBorders>
            <w:shd w:val="clear" w:color="auto" w:fill="auto"/>
          </w:tcPr>
          <w:p w14:paraId="731E8433" w14:textId="7D8D7F59" w:rsidR="00FC6991" w:rsidRPr="009503ED" w:rsidRDefault="00B01683" w:rsidP="00A5405D">
            <w:pPr>
              <w:pStyle w:val="Time"/>
              <w:rPr>
                <w:sz w:val="22"/>
                <w:szCs w:val="24"/>
                <w:shd w:val="clear" w:color="auto" w:fill="FFFFFF"/>
              </w:rPr>
            </w:pPr>
            <w:r w:rsidRPr="009503ED">
              <w:rPr>
                <w:sz w:val="24"/>
              </w:rPr>
              <w:t>9</w:t>
            </w:r>
            <w:r w:rsidR="00FC6991" w:rsidRPr="009503ED">
              <w:rPr>
                <w:sz w:val="24"/>
              </w:rPr>
              <w:t>:</w:t>
            </w:r>
            <w:r w:rsidR="00A5405D">
              <w:rPr>
                <w:sz w:val="24"/>
              </w:rPr>
              <w:t>10</w:t>
            </w:r>
            <w:r w:rsidR="00FC6991" w:rsidRPr="009503ED">
              <w:rPr>
                <w:sz w:val="24"/>
              </w:rPr>
              <w:t xml:space="preserve"> </w:t>
            </w:r>
            <w:r w:rsidRPr="009503ED">
              <w:rPr>
                <w:sz w:val="20"/>
              </w:rPr>
              <w:t>a</w:t>
            </w:r>
            <w:r w:rsidR="00FC6991" w:rsidRPr="009503ED">
              <w:rPr>
                <w:sz w:val="20"/>
              </w:rPr>
              <w:t>.m.</w:t>
            </w:r>
          </w:p>
        </w:tc>
        <w:tc>
          <w:tcPr>
            <w:tcW w:w="9357" w:type="dxa"/>
            <w:tcBorders>
              <w:top w:val="single" w:sz="4" w:space="0" w:color="auto"/>
              <w:bottom w:val="single" w:sz="4" w:space="0" w:color="auto"/>
            </w:tcBorders>
            <w:shd w:val="clear" w:color="auto" w:fill="auto"/>
          </w:tcPr>
          <w:p w14:paraId="50B4556A" w14:textId="7F482F4C" w:rsidR="00FC6991" w:rsidRPr="009503ED" w:rsidRDefault="00C44690" w:rsidP="002A5D27">
            <w:pPr>
              <w:pStyle w:val="Tablesubtitle"/>
              <w:rPr>
                <w:sz w:val="28"/>
              </w:rPr>
            </w:pPr>
            <w:r w:rsidRPr="009503ED">
              <w:rPr>
                <w:sz w:val="28"/>
              </w:rPr>
              <w:t>Setting the Stage</w:t>
            </w:r>
          </w:p>
          <w:p w14:paraId="6BD25194" w14:textId="45C16A95" w:rsidR="00FC6991" w:rsidRPr="009503ED" w:rsidRDefault="00C44690" w:rsidP="00C44690">
            <w:pPr>
              <w:spacing w:after="0" w:line="240" w:lineRule="auto"/>
              <w:rPr>
                <w:szCs w:val="24"/>
                <w:shd w:val="clear" w:color="auto" w:fill="FFFFFF"/>
              </w:rPr>
            </w:pPr>
            <w:r w:rsidRPr="009503ED">
              <w:rPr>
                <w:rStyle w:val="SubtleEmphasis"/>
                <w:sz w:val="20"/>
              </w:rPr>
              <w:t>Manu Asthana</w:t>
            </w:r>
            <w:r w:rsidR="00FC6991" w:rsidRPr="009503ED">
              <w:rPr>
                <w:rStyle w:val="SubtleEmphasis"/>
                <w:sz w:val="20"/>
              </w:rPr>
              <w:t>,</w:t>
            </w:r>
            <w:r w:rsidR="00FC6991" w:rsidRPr="009503ED">
              <w:rPr>
                <w:b/>
                <w:color w:val="00B0F0" w:themeColor="accent3"/>
                <w:sz w:val="24"/>
              </w:rPr>
              <w:t xml:space="preserve"> </w:t>
            </w:r>
            <w:r w:rsidRPr="009503ED">
              <w:rPr>
                <w:sz w:val="20"/>
              </w:rPr>
              <w:t>President &amp; CEO, PJM Interconnection</w:t>
            </w:r>
          </w:p>
        </w:tc>
      </w:tr>
      <w:tr w:rsidR="00C44690" w:rsidRPr="009503ED" w14:paraId="572DA7D7" w14:textId="77777777" w:rsidTr="00DF498A">
        <w:trPr>
          <w:trHeight w:val="922"/>
        </w:trPr>
        <w:tc>
          <w:tcPr>
            <w:tcW w:w="818" w:type="dxa"/>
            <w:tcBorders>
              <w:top w:val="single" w:sz="4" w:space="0" w:color="auto"/>
              <w:bottom w:val="single" w:sz="4" w:space="0" w:color="auto"/>
            </w:tcBorders>
            <w:shd w:val="clear" w:color="auto" w:fill="CAEDFE"/>
          </w:tcPr>
          <w:p w14:paraId="656351FB" w14:textId="2A574FD5" w:rsidR="00C44690" w:rsidRPr="009503ED" w:rsidRDefault="00B01683" w:rsidP="00A5405D">
            <w:pPr>
              <w:pStyle w:val="Time"/>
              <w:rPr>
                <w:sz w:val="24"/>
              </w:rPr>
            </w:pPr>
            <w:r w:rsidRPr="009503ED">
              <w:rPr>
                <w:sz w:val="24"/>
              </w:rPr>
              <w:t>9</w:t>
            </w:r>
            <w:r w:rsidR="00C44690" w:rsidRPr="009503ED">
              <w:rPr>
                <w:sz w:val="24"/>
              </w:rPr>
              <w:t>:</w:t>
            </w:r>
            <w:r w:rsidR="00A5405D">
              <w:rPr>
                <w:sz w:val="24"/>
              </w:rPr>
              <w:t>20</w:t>
            </w:r>
            <w:r w:rsidR="00C44690" w:rsidRPr="009503ED">
              <w:rPr>
                <w:sz w:val="24"/>
              </w:rPr>
              <w:t xml:space="preserve"> </w:t>
            </w:r>
            <w:r w:rsidRPr="009503ED">
              <w:rPr>
                <w:sz w:val="20"/>
              </w:rPr>
              <w:t>a</w:t>
            </w:r>
            <w:r w:rsidR="00C44690" w:rsidRPr="009503ED">
              <w:rPr>
                <w:sz w:val="20"/>
              </w:rPr>
              <w:t>.m.</w:t>
            </w:r>
          </w:p>
        </w:tc>
        <w:tc>
          <w:tcPr>
            <w:tcW w:w="9357" w:type="dxa"/>
            <w:tcBorders>
              <w:top w:val="single" w:sz="4" w:space="0" w:color="auto"/>
              <w:bottom w:val="single" w:sz="4" w:space="0" w:color="auto"/>
            </w:tcBorders>
            <w:shd w:val="clear" w:color="auto" w:fill="CAEDFE"/>
          </w:tcPr>
          <w:p w14:paraId="2860AA9B" w14:textId="2AC7C496" w:rsidR="00C44690" w:rsidRPr="009503ED" w:rsidRDefault="00DF498A" w:rsidP="00C44690">
            <w:pPr>
              <w:pStyle w:val="Tablesubtitle"/>
              <w:rPr>
                <w:sz w:val="28"/>
              </w:rPr>
            </w:pPr>
            <w:r w:rsidRPr="009503ED">
              <w:rPr>
                <w:sz w:val="28"/>
              </w:rPr>
              <w:t xml:space="preserve">Panel 1 </w:t>
            </w:r>
            <w:r w:rsidR="0013349C">
              <w:rPr>
                <w:sz w:val="28"/>
              </w:rPr>
              <w:t>– Maintaining Reliability and Efficient Markets Through the Transition</w:t>
            </w:r>
          </w:p>
          <w:p w14:paraId="518E6C7F" w14:textId="2B7DF93B" w:rsidR="00C44690" w:rsidRDefault="00CB195F" w:rsidP="007C343A">
            <w:pPr>
              <w:rPr>
                <w:sz w:val="20"/>
              </w:rPr>
            </w:pPr>
            <w:r w:rsidRPr="00CB195F">
              <w:rPr>
                <w:rStyle w:val="Strong"/>
                <w:sz w:val="20"/>
              </w:rPr>
              <w:t>Moderator</w:t>
            </w:r>
            <w:r w:rsidRPr="00CB195F">
              <w:rPr>
                <w:rStyle w:val="Strong"/>
                <w:iCs/>
                <w:sz w:val="20"/>
              </w:rPr>
              <w:t xml:space="preserve"> –</w:t>
            </w:r>
            <w:r>
              <w:rPr>
                <w:rStyle w:val="SubtleEmphasis"/>
                <w:sz w:val="20"/>
              </w:rPr>
              <w:t xml:space="preserve"> </w:t>
            </w:r>
            <w:r w:rsidR="00C35215">
              <w:rPr>
                <w:rStyle w:val="SubtleEmphasis"/>
                <w:sz w:val="20"/>
              </w:rPr>
              <w:t>Jim Robb</w:t>
            </w:r>
            <w:r w:rsidR="00C44690" w:rsidRPr="009503ED">
              <w:rPr>
                <w:rStyle w:val="SubtleEmphasis"/>
                <w:sz w:val="20"/>
              </w:rPr>
              <w:t>,</w:t>
            </w:r>
            <w:r w:rsidR="00C44690" w:rsidRPr="009503ED">
              <w:rPr>
                <w:color w:val="00B0F0" w:themeColor="accent3"/>
                <w:sz w:val="20"/>
              </w:rPr>
              <w:t xml:space="preserve"> </w:t>
            </w:r>
            <w:r w:rsidR="003E0E20" w:rsidRPr="00FE7E7E">
              <w:rPr>
                <w:sz w:val="20"/>
              </w:rPr>
              <w:t>President &amp; CEO</w:t>
            </w:r>
            <w:r w:rsidR="004C26A0" w:rsidRPr="00FE7E7E">
              <w:rPr>
                <w:sz w:val="20"/>
              </w:rPr>
              <w:t>,</w:t>
            </w:r>
            <w:r w:rsidR="003E0E20" w:rsidRPr="00FE7E7E">
              <w:rPr>
                <w:sz w:val="20"/>
              </w:rPr>
              <w:t xml:space="preserve"> North American Electric Reliability Corporation</w:t>
            </w:r>
          </w:p>
          <w:p w14:paraId="1962A717" w14:textId="1172E540" w:rsidR="007B712E" w:rsidRDefault="00A5405D" w:rsidP="007B712E">
            <w:pPr>
              <w:rPr>
                <w:rStyle w:val="SubtleEmphasis"/>
                <w:sz w:val="20"/>
              </w:rPr>
            </w:pPr>
            <w:r>
              <w:rPr>
                <w:rStyle w:val="Strong"/>
                <w:sz w:val="20"/>
              </w:rPr>
              <w:t>Panelists</w:t>
            </w:r>
            <w:r w:rsidRPr="009503ED">
              <w:rPr>
                <w:sz w:val="20"/>
              </w:rPr>
              <w:t xml:space="preserve"> </w:t>
            </w:r>
            <w:r w:rsidRPr="009503ED">
              <w:rPr>
                <w:rStyle w:val="Strong"/>
                <w:sz w:val="20"/>
              </w:rPr>
              <w:t>–</w:t>
            </w:r>
            <w:r w:rsidRPr="009503ED">
              <w:rPr>
                <w:sz w:val="20"/>
              </w:rPr>
              <w:t xml:space="preserve"> </w:t>
            </w:r>
            <w:r w:rsidR="007B712E">
              <w:rPr>
                <w:rStyle w:val="SubtleEmphasis"/>
                <w:sz w:val="20"/>
              </w:rPr>
              <w:t xml:space="preserve">Brian George, </w:t>
            </w:r>
            <w:r w:rsidR="007B712E" w:rsidRPr="00FE7E7E">
              <w:rPr>
                <w:iCs/>
                <w:sz w:val="20"/>
                <w:szCs w:val="20"/>
              </w:rPr>
              <w:t>Global Energy Market Development &amp; Policy, Google</w:t>
            </w:r>
            <w:r w:rsidR="007B712E">
              <w:rPr>
                <w:rStyle w:val="SubtleEmphasis"/>
                <w:sz w:val="20"/>
              </w:rPr>
              <w:t xml:space="preserve"> </w:t>
            </w:r>
          </w:p>
          <w:p w14:paraId="1F26334B" w14:textId="77777777" w:rsidR="007B712E" w:rsidRPr="00FE7E7E" w:rsidRDefault="007B712E" w:rsidP="007B712E">
            <w:pPr>
              <w:ind w:left="1056"/>
              <w:rPr>
                <w:b/>
                <w:iCs/>
                <w:sz w:val="20"/>
                <w:szCs w:val="20"/>
              </w:rPr>
            </w:pPr>
            <w:r w:rsidRPr="003822BB">
              <w:rPr>
                <w:rStyle w:val="SubtleEmphasis"/>
                <w:sz w:val="20"/>
              </w:rPr>
              <w:t>Bobby Jeffers</w:t>
            </w:r>
            <w:r>
              <w:rPr>
                <w:rStyle w:val="SubtleEmphasis"/>
                <w:sz w:val="20"/>
              </w:rPr>
              <w:t xml:space="preserve">, </w:t>
            </w:r>
            <w:r w:rsidRPr="00FE7E7E">
              <w:rPr>
                <w:iCs/>
                <w:sz w:val="20"/>
                <w:szCs w:val="20"/>
              </w:rPr>
              <w:t>Program Manager, National Renewable Energy Laboratory (NREL)</w:t>
            </w:r>
          </w:p>
          <w:p w14:paraId="336A24B6" w14:textId="77777777" w:rsidR="007B712E" w:rsidRDefault="007B712E" w:rsidP="00E72492">
            <w:pPr>
              <w:ind w:left="1056"/>
              <w:rPr>
                <w:rStyle w:val="SubtleEmphasis"/>
                <w:sz w:val="20"/>
              </w:rPr>
            </w:pPr>
            <w:r>
              <w:rPr>
                <w:rStyle w:val="SubtleEmphasis"/>
                <w:sz w:val="20"/>
              </w:rPr>
              <w:t xml:space="preserve">Peter Brandien, </w:t>
            </w:r>
            <w:r w:rsidRPr="00FE7E7E">
              <w:rPr>
                <w:iCs/>
                <w:sz w:val="20"/>
                <w:szCs w:val="20"/>
              </w:rPr>
              <w:t>Vice President, System Operations &amp; Market Administration, ISO-NE</w:t>
            </w:r>
            <w:r>
              <w:rPr>
                <w:rStyle w:val="SubtleEmphasis"/>
                <w:sz w:val="20"/>
              </w:rPr>
              <w:t xml:space="preserve"> </w:t>
            </w:r>
          </w:p>
          <w:p w14:paraId="2715FC0A" w14:textId="77777777" w:rsidR="007B712E" w:rsidRPr="00AA1FD2" w:rsidRDefault="007B712E" w:rsidP="007B712E">
            <w:pPr>
              <w:ind w:left="1056"/>
              <w:rPr>
                <w:rStyle w:val="SubtleEmphasis"/>
                <w:rFonts w:ascii="Arial Narrow" w:hAnsi="Arial Narrow"/>
                <w:sz w:val="20"/>
              </w:rPr>
            </w:pPr>
            <w:r>
              <w:rPr>
                <w:rStyle w:val="SubtleEmphasis"/>
                <w:sz w:val="20"/>
              </w:rPr>
              <w:t xml:space="preserve">Jeff Craigo, </w:t>
            </w:r>
            <w:r w:rsidRPr="00FE7E7E">
              <w:rPr>
                <w:sz w:val="20"/>
                <w:szCs w:val="20"/>
              </w:rPr>
              <w:t>Vice President, Reliability &amp; Risk, ReliabilityFirst</w:t>
            </w:r>
          </w:p>
          <w:p w14:paraId="2E4CE659" w14:textId="23E8D035" w:rsidR="003822BB" w:rsidRPr="007B712E" w:rsidRDefault="002C1454" w:rsidP="007B712E">
            <w:pPr>
              <w:ind w:left="1056"/>
              <w:rPr>
                <w:rFonts w:ascii="Arial" w:hAnsi="Arial"/>
                <w:b/>
                <w:iCs/>
                <w:color w:val="00B0F0" w:themeColor="accent3"/>
                <w:sz w:val="20"/>
              </w:rPr>
            </w:pPr>
            <w:r>
              <w:rPr>
                <w:rStyle w:val="SubtleEmphasis"/>
                <w:sz w:val="20"/>
              </w:rPr>
              <w:t xml:space="preserve">Nancy </w:t>
            </w:r>
            <w:r w:rsidRPr="002C1454">
              <w:rPr>
                <w:rStyle w:val="SubtleEmphasis"/>
                <w:sz w:val="20"/>
              </w:rPr>
              <w:t>Bagot</w:t>
            </w:r>
            <w:r w:rsidR="00172151">
              <w:rPr>
                <w:rStyle w:val="SubtleEmphasis"/>
                <w:sz w:val="20"/>
              </w:rPr>
              <w:t xml:space="preserve">, </w:t>
            </w:r>
            <w:r w:rsidRPr="002C1454">
              <w:rPr>
                <w:sz w:val="20"/>
                <w:szCs w:val="20"/>
              </w:rPr>
              <w:t>Senior Vice President</w:t>
            </w:r>
            <w:r w:rsidR="00172151" w:rsidRPr="00FE7E7E">
              <w:rPr>
                <w:sz w:val="20"/>
                <w:szCs w:val="20"/>
              </w:rPr>
              <w:t>, Electric Power Supply Association (EPSA)</w:t>
            </w:r>
          </w:p>
        </w:tc>
      </w:tr>
      <w:tr w:rsidR="00DF498A" w:rsidRPr="009503ED" w14:paraId="119E0122" w14:textId="77777777" w:rsidTr="00A5405D">
        <w:trPr>
          <w:trHeight w:val="939"/>
        </w:trPr>
        <w:tc>
          <w:tcPr>
            <w:tcW w:w="818" w:type="dxa"/>
            <w:tcBorders>
              <w:top w:val="single" w:sz="4" w:space="0" w:color="auto"/>
              <w:bottom w:val="single" w:sz="4" w:space="0" w:color="auto"/>
            </w:tcBorders>
            <w:shd w:val="clear" w:color="auto" w:fill="auto"/>
          </w:tcPr>
          <w:p w14:paraId="4677B37C" w14:textId="4431D11F" w:rsidR="00DF498A" w:rsidRPr="009503ED" w:rsidRDefault="007C343A" w:rsidP="00A5405D">
            <w:pPr>
              <w:pStyle w:val="Time"/>
              <w:rPr>
                <w:sz w:val="24"/>
              </w:rPr>
            </w:pPr>
            <w:r w:rsidRPr="009503ED">
              <w:rPr>
                <w:sz w:val="24"/>
              </w:rPr>
              <w:t>10</w:t>
            </w:r>
            <w:r w:rsidR="00DF498A" w:rsidRPr="009503ED">
              <w:rPr>
                <w:sz w:val="24"/>
              </w:rPr>
              <w:t>:</w:t>
            </w:r>
            <w:r w:rsidR="00A5405D">
              <w:rPr>
                <w:sz w:val="24"/>
              </w:rPr>
              <w:t>35</w:t>
            </w:r>
            <w:r w:rsidR="00DF498A" w:rsidRPr="009503ED">
              <w:rPr>
                <w:sz w:val="24"/>
              </w:rPr>
              <w:t xml:space="preserve"> </w:t>
            </w:r>
            <w:r w:rsidR="00DF498A" w:rsidRPr="009503ED">
              <w:rPr>
                <w:sz w:val="20"/>
              </w:rPr>
              <w:t>a.m.</w:t>
            </w:r>
          </w:p>
        </w:tc>
        <w:tc>
          <w:tcPr>
            <w:tcW w:w="9357" w:type="dxa"/>
            <w:tcBorders>
              <w:top w:val="single" w:sz="4" w:space="0" w:color="auto"/>
              <w:bottom w:val="single" w:sz="4" w:space="0" w:color="auto"/>
            </w:tcBorders>
            <w:shd w:val="clear" w:color="auto" w:fill="auto"/>
          </w:tcPr>
          <w:p w14:paraId="792D66BF" w14:textId="72E0A77B" w:rsidR="00DF498A" w:rsidRPr="009503ED" w:rsidRDefault="00DF498A" w:rsidP="000F6A67">
            <w:pPr>
              <w:pStyle w:val="Tablesubtitle"/>
              <w:rPr>
                <w:sz w:val="28"/>
              </w:rPr>
            </w:pPr>
            <w:r w:rsidRPr="009503ED">
              <w:rPr>
                <w:sz w:val="28"/>
              </w:rPr>
              <w:t xml:space="preserve">Panel </w:t>
            </w:r>
            <w:r w:rsidR="007C343A" w:rsidRPr="009503ED">
              <w:rPr>
                <w:sz w:val="28"/>
              </w:rPr>
              <w:t>2</w:t>
            </w:r>
            <w:r w:rsidRPr="009503ED">
              <w:rPr>
                <w:sz w:val="28"/>
              </w:rPr>
              <w:t xml:space="preserve"> </w:t>
            </w:r>
            <w:r w:rsidR="00A5405D">
              <w:rPr>
                <w:sz w:val="28"/>
              </w:rPr>
              <w:t xml:space="preserve">– Ensuring/Enhancing </w:t>
            </w:r>
            <w:r w:rsidR="00C35215">
              <w:rPr>
                <w:sz w:val="28"/>
              </w:rPr>
              <w:t xml:space="preserve">Energy </w:t>
            </w:r>
            <w:r w:rsidR="00304310">
              <w:rPr>
                <w:sz w:val="28"/>
              </w:rPr>
              <w:t xml:space="preserve">Equity </w:t>
            </w:r>
            <w:r w:rsidR="00C35215">
              <w:rPr>
                <w:sz w:val="28"/>
              </w:rPr>
              <w:t xml:space="preserve">and </w:t>
            </w:r>
            <w:r w:rsidR="00A5405D">
              <w:rPr>
                <w:sz w:val="28"/>
              </w:rPr>
              <w:t>Environmental Justice Through the Transition</w:t>
            </w:r>
          </w:p>
          <w:p w14:paraId="22A119FD" w14:textId="78B65F36" w:rsidR="00A5405D" w:rsidRDefault="00CB195F" w:rsidP="000F6A67">
            <w:pPr>
              <w:rPr>
                <w:rStyle w:val="Strong"/>
                <w:sz w:val="20"/>
              </w:rPr>
            </w:pPr>
            <w:r w:rsidRPr="00CB195F">
              <w:rPr>
                <w:rStyle w:val="Strong"/>
                <w:sz w:val="20"/>
              </w:rPr>
              <w:t>Moderator</w:t>
            </w:r>
            <w:r w:rsidRPr="00CB195F">
              <w:rPr>
                <w:rStyle w:val="Strong"/>
                <w:iCs/>
                <w:sz w:val="20"/>
              </w:rPr>
              <w:t xml:space="preserve"> –</w:t>
            </w:r>
            <w:r>
              <w:rPr>
                <w:rStyle w:val="Strong"/>
                <w:iCs/>
                <w:sz w:val="20"/>
              </w:rPr>
              <w:t xml:space="preserve"> </w:t>
            </w:r>
            <w:r w:rsidR="00C549D1" w:rsidRPr="001900AC">
              <w:rPr>
                <w:rStyle w:val="SubtleEmphasis"/>
                <w:sz w:val="20"/>
              </w:rPr>
              <w:t>Hon.</w:t>
            </w:r>
            <w:r w:rsidR="00C549D1">
              <w:rPr>
                <w:rStyle w:val="Strong"/>
                <w:iCs/>
                <w:sz w:val="20"/>
              </w:rPr>
              <w:t xml:space="preserve"> </w:t>
            </w:r>
            <w:r w:rsidRPr="00CB195F">
              <w:rPr>
                <w:rStyle w:val="SubtleEmphasis"/>
                <w:sz w:val="20"/>
              </w:rPr>
              <w:t>Harold Gray</w:t>
            </w:r>
            <w:r>
              <w:rPr>
                <w:rStyle w:val="SubtleEmphasis"/>
                <w:sz w:val="20"/>
              </w:rPr>
              <w:t xml:space="preserve">, </w:t>
            </w:r>
            <w:r w:rsidRPr="00CB195F">
              <w:rPr>
                <w:sz w:val="20"/>
              </w:rPr>
              <w:t>Commissioner</w:t>
            </w:r>
            <w:r>
              <w:rPr>
                <w:sz w:val="20"/>
              </w:rPr>
              <w:t xml:space="preserve">, </w:t>
            </w:r>
            <w:r w:rsidRPr="00CB195F">
              <w:rPr>
                <w:sz w:val="20"/>
              </w:rPr>
              <w:t xml:space="preserve"> Delaware Public Service </w:t>
            </w:r>
            <w:r w:rsidR="003E0E20">
              <w:rPr>
                <w:sz w:val="20"/>
              </w:rPr>
              <w:t>Commission</w:t>
            </w:r>
          </w:p>
          <w:p w14:paraId="2B690044" w14:textId="7376C154" w:rsidR="00C549D1" w:rsidRDefault="00B304F4" w:rsidP="00E72492">
            <w:pPr>
              <w:ind w:left="1236" w:hanging="1260"/>
              <w:rPr>
                <w:sz w:val="20"/>
              </w:rPr>
            </w:pPr>
            <w:r>
              <w:rPr>
                <w:rStyle w:val="Strong"/>
                <w:sz w:val="20"/>
              </w:rPr>
              <w:t>Panelists</w:t>
            </w:r>
            <w:r w:rsidRPr="009503ED">
              <w:rPr>
                <w:sz w:val="20"/>
              </w:rPr>
              <w:t xml:space="preserve"> </w:t>
            </w:r>
            <w:r w:rsidR="00DF498A" w:rsidRPr="009503ED">
              <w:rPr>
                <w:rStyle w:val="Strong"/>
                <w:sz w:val="20"/>
              </w:rPr>
              <w:t>–</w:t>
            </w:r>
            <w:r w:rsidR="00DF498A" w:rsidRPr="009503ED">
              <w:rPr>
                <w:sz w:val="20"/>
              </w:rPr>
              <w:t xml:space="preserve"> </w:t>
            </w:r>
            <w:r w:rsidR="00C549D1">
              <w:rPr>
                <w:rStyle w:val="SubtleEmphasis"/>
                <w:sz w:val="20"/>
              </w:rPr>
              <w:t xml:space="preserve">Hon. </w:t>
            </w:r>
            <w:r w:rsidR="00C549D1" w:rsidRPr="00FE7E7E">
              <w:rPr>
                <w:rStyle w:val="SubtleEmphasis"/>
                <w:sz w:val="20"/>
              </w:rPr>
              <w:t>Willie L. Phillips,</w:t>
            </w:r>
            <w:r w:rsidR="00C549D1" w:rsidRPr="00FE7E7E">
              <w:rPr>
                <w:rStyle w:val="SubtleEmphasis"/>
                <w:b w:val="0"/>
                <w:sz w:val="20"/>
              </w:rPr>
              <w:t xml:space="preserve"> </w:t>
            </w:r>
            <w:r w:rsidR="00C549D1" w:rsidRPr="00FE7E7E">
              <w:rPr>
                <w:sz w:val="20"/>
              </w:rPr>
              <w:t>Commissioner, Federal Energy Regulatory Commission</w:t>
            </w:r>
          </w:p>
          <w:p w14:paraId="03345003" w14:textId="03D89039" w:rsidR="009B0851" w:rsidRDefault="009E76D4" w:rsidP="009B0851">
            <w:pPr>
              <w:ind w:left="1056"/>
              <w:rPr>
                <w:sz w:val="20"/>
              </w:rPr>
            </w:pPr>
            <w:r>
              <w:rPr>
                <w:rStyle w:val="SubtleEmphasis"/>
                <w:sz w:val="20"/>
              </w:rPr>
              <w:t>Co</w:t>
            </w:r>
            <w:r w:rsidR="009B0851" w:rsidRPr="009206E0">
              <w:rPr>
                <w:rStyle w:val="SubtleEmphasis"/>
                <w:sz w:val="20"/>
              </w:rPr>
              <w:t>lette Honorable,</w:t>
            </w:r>
            <w:r w:rsidR="009B0851">
              <w:rPr>
                <w:sz w:val="20"/>
              </w:rPr>
              <w:t xml:space="preserve"> </w:t>
            </w:r>
            <w:r w:rsidR="0080681A">
              <w:rPr>
                <w:sz w:val="20"/>
              </w:rPr>
              <w:t xml:space="preserve">Former state and federal regulator, </w:t>
            </w:r>
            <w:r w:rsidR="00321CD0">
              <w:rPr>
                <w:sz w:val="20"/>
              </w:rPr>
              <w:t xml:space="preserve">Partner, </w:t>
            </w:r>
            <w:r w:rsidR="009B0851">
              <w:rPr>
                <w:sz w:val="20"/>
              </w:rPr>
              <w:t>Reed Smith, LLP</w:t>
            </w:r>
          </w:p>
          <w:p w14:paraId="2F9F6589" w14:textId="6DDFD83B" w:rsidR="00DF498A" w:rsidRDefault="00FE7E7E" w:rsidP="00E72492">
            <w:pPr>
              <w:ind w:left="1056"/>
              <w:rPr>
                <w:iCs/>
                <w:sz w:val="20"/>
              </w:rPr>
            </w:pPr>
            <w:r w:rsidRPr="00FE7E7E">
              <w:rPr>
                <w:rStyle w:val="SubtleEmphasis"/>
                <w:sz w:val="20"/>
              </w:rPr>
              <w:t xml:space="preserve">Joseph </w:t>
            </w:r>
            <w:r>
              <w:rPr>
                <w:rStyle w:val="SubtleEmphasis"/>
                <w:sz w:val="20"/>
              </w:rPr>
              <w:t xml:space="preserve">P. </w:t>
            </w:r>
            <w:r w:rsidRPr="00FE7E7E">
              <w:rPr>
                <w:rStyle w:val="SubtleEmphasis"/>
                <w:sz w:val="20"/>
              </w:rPr>
              <w:t>Kennedy</w:t>
            </w:r>
            <w:r>
              <w:rPr>
                <w:rStyle w:val="SubtleEmphasis"/>
                <w:sz w:val="20"/>
              </w:rPr>
              <w:t xml:space="preserve"> III</w:t>
            </w:r>
            <w:r w:rsidR="00CB195F" w:rsidRPr="009503ED">
              <w:rPr>
                <w:rStyle w:val="SubtleEmphasis"/>
                <w:sz w:val="20"/>
              </w:rPr>
              <w:t xml:space="preserve">, </w:t>
            </w:r>
            <w:r w:rsidR="009B0851" w:rsidRPr="009B0851">
              <w:rPr>
                <w:sz w:val="20"/>
                <w:szCs w:val="20"/>
              </w:rPr>
              <w:t>Managing Director,</w:t>
            </w:r>
            <w:r w:rsidR="009B0851" w:rsidRPr="009B0851">
              <w:rPr>
                <w:rStyle w:val="SubtleEmphasis"/>
                <w:sz w:val="20"/>
                <w:szCs w:val="20"/>
              </w:rPr>
              <w:t xml:space="preserve"> </w:t>
            </w:r>
            <w:r w:rsidRPr="009B0851">
              <w:rPr>
                <w:iCs/>
                <w:sz w:val="20"/>
                <w:szCs w:val="20"/>
              </w:rPr>
              <w:t>Citizens</w:t>
            </w:r>
            <w:r w:rsidRPr="00FE7E7E">
              <w:rPr>
                <w:iCs/>
                <w:sz w:val="20"/>
              </w:rPr>
              <w:t xml:space="preserve"> Energy Corporation</w:t>
            </w:r>
          </w:p>
          <w:p w14:paraId="13D5F17D" w14:textId="518F78A1" w:rsidR="003E0317" w:rsidRPr="009503ED" w:rsidRDefault="00393A10" w:rsidP="00393A10">
            <w:pPr>
              <w:ind w:left="1056"/>
              <w:rPr>
                <w:sz w:val="20"/>
              </w:rPr>
            </w:pPr>
            <w:r>
              <w:rPr>
                <w:rStyle w:val="SubtleEmphasis"/>
                <w:sz w:val="20"/>
              </w:rPr>
              <w:t>Damali Harding</w:t>
            </w:r>
            <w:r w:rsidR="003E0317" w:rsidRPr="009206E0">
              <w:rPr>
                <w:rStyle w:val="SubtleEmphasis"/>
                <w:sz w:val="20"/>
              </w:rPr>
              <w:t>,</w:t>
            </w:r>
            <w:r w:rsidR="003E0317" w:rsidRPr="003E0317">
              <w:rPr>
                <w:sz w:val="20"/>
              </w:rPr>
              <w:t xml:space="preserve"> </w:t>
            </w:r>
            <w:r w:rsidRPr="00393A10">
              <w:rPr>
                <w:sz w:val="20"/>
              </w:rPr>
              <w:t>US Managing Principal</w:t>
            </w:r>
            <w:r>
              <w:rPr>
                <w:sz w:val="20"/>
              </w:rPr>
              <w:t>,</w:t>
            </w:r>
            <w:r w:rsidRPr="00393A10">
              <w:rPr>
                <w:sz w:val="20"/>
              </w:rPr>
              <w:t xml:space="preserve"> </w:t>
            </w:r>
            <w:r>
              <w:rPr>
                <w:sz w:val="20"/>
              </w:rPr>
              <w:t>T</w:t>
            </w:r>
            <w:r w:rsidRPr="00393A10">
              <w:rPr>
                <w:sz w:val="20"/>
              </w:rPr>
              <w:t>he Regulatory Assistance Project</w:t>
            </w:r>
            <w:r w:rsidR="003E0317">
              <w:rPr>
                <w:sz w:val="20"/>
              </w:rPr>
              <w:t xml:space="preserve"> </w:t>
            </w:r>
          </w:p>
        </w:tc>
      </w:tr>
      <w:tr w:rsidR="00FC6991" w:rsidRPr="009503ED" w14:paraId="576F16AF" w14:textId="77777777" w:rsidTr="003E0317">
        <w:trPr>
          <w:trHeight w:val="714"/>
        </w:trPr>
        <w:tc>
          <w:tcPr>
            <w:tcW w:w="818" w:type="dxa"/>
            <w:tcBorders>
              <w:top w:val="single" w:sz="4" w:space="0" w:color="auto"/>
            </w:tcBorders>
            <w:shd w:val="clear" w:color="auto" w:fill="C9F0FF" w:themeFill="accent3" w:themeFillTint="33"/>
          </w:tcPr>
          <w:p w14:paraId="66E1D27D" w14:textId="48378F92" w:rsidR="00FC6991" w:rsidRPr="009503ED" w:rsidRDefault="00B01683" w:rsidP="00A5405D">
            <w:pPr>
              <w:pStyle w:val="Time"/>
              <w:rPr>
                <w:sz w:val="22"/>
                <w:szCs w:val="24"/>
                <w:shd w:val="clear" w:color="auto" w:fill="FFFFFF"/>
              </w:rPr>
            </w:pPr>
            <w:r w:rsidRPr="009503ED">
              <w:rPr>
                <w:sz w:val="24"/>
              </w:rPr>
              <w:t>11</w:t>
            </w:r>
            <w:r w:rsidR="007F2C0D" w:rsidRPr="009503ED">
              <w:rPr>
                <w:sz w:val="24"/>
              </w:rPr>
              <w:t>:</w:t>
            </w:r>
            <w:r w:rsidR="00B304F4">
              <w:rPr>
                <w:sz w:val="24"/>
              </w:rPr>
              <w:t>5</w:t>
            </w:r>
            <w:r w:rsidR="00A5405D">
              <w:rPr>
                <w:sz w:val="24"/>
              </w:rPr>
              <w:t>0</w:t>
            </w:r>
            <w:r w:rsidR="00FC6991" w:rsidRPr="009503ED">
              <w:rPr>
                <w:sz w:val="24"/>
              </w:rPr>
              <w:t xml:space="preserve"> </w:t>
            </w:r>
            <w:r w:rsidRPr="009503ED">
              <w:rPr>
                <w:sz w:val="20"/>
              </w:rPr>
              <w:t>a</w:t>
            </w:r>
            <w:r w:rsidR="00FC6991" w:rsidRPr="009503ED">
              <w:rPr>
                <w:sz w:val="20"/>
              </w:rPr>
              <w:t>.m.</w:t>
            </w:r>
          </w:p>
        </w:tc>
        <w:tc>
          <w:tcPr>
            <w:tcW w:w="9357" w:type="dxa"/>
            <w:tcBorders>
              <w:top w:val="single" w:sz="4" w:space="0" w:color="auto"/>
            </w:tcBorders>
            <w:shd w:val="clear" w:color="auto" w:fill="C9F0FF" w:themeFill="accent3" w:themeFillTint="33"/>
          </w:tcPr>
          <w:p w14:paraId="616E96D3" w14:textId="77777777" w:rsidR="00FC6991" w:rsidRPr="009503ED" w:rsidRDefault="00FC6991" w:rsidP="002A5D27">
            <w:pPr>
              <w:pStyle w:val="Tablesubtitle"/>
              <w:rPr>
                <w:sz w:val="28"/>
              </w:rPr>
            </w:pPr>
            <w:r w:rsidRPr="009503ED">
              <w:rPr>
                <w:sz w:val="28"/>
              </w:rPr>
              <w:t>Closing Remarks</w:t>
            </w:r>
          </w:p>
          <w:p w14:paraId="7186B232" w14:textId="2C4D17DA" w:rsidR="00FC6991" w:rsidRPr="009503ED" w:rsidRDefault="00FC6991" w:rsidP="007C343A">
            <w:pPr>
              <w:spacing w:after="0" w:line="240" w:lineRule="auto"/>
              <w:rPr>
                <w:szCs w:val="24"/>
                <w:shd w:val="clear" w:color="auto" w:fill="FFFFFF"/>
              </w:rPr>
            </w:pPr>
            <w:r w:rsidRPr="009503ED">
              <w:rPr>
                <w:rStyle w:val="SubtleEmphasis"/>
                <w:sz w:val="20"/>
              </w:rPr>
              <w:t>Mark Takahashi,</w:t>
            </w:r>
            <w:r w:rsidRPr="009503ED">
              <w:rPr>
                <w:sz w:val="20"/>
              </w:rPr>
              <w:t xml:space="preserve"> </w:t>
            </w:r>
            <w:r w:rsidR="001255E5" w:rsidRPr="009503ED">
              <w:rPr>
                <w:sz w:val="20"/>
              </w:rPr>
              <w:t>Chair, PJM Board of Managers</w:t>
            </w:r>
          </w:p>
        </w:tc>
      </w:tr>
    </w:tbl>
    <w:p w14:paraId="133E81A5" w14:textId="77777777" w:rsidR="00F9556F" w:rsidRPr="009503ED" w:rsidRDefault="00F9556F" w:rsidP="00F9556F">
      <w:pPr>
        <w:spacing w:after="0" w:line="240" w:lineRule="auto"/>
        <w:rPr>
          <w:rFonts w:cs="Arial"/>
          <w:sz w:val="2"/>
        </w:rPr>
      </w:pPr>
    </w:p>
    <w:p w14:paraId="600051FC" w14:textId="77777777" w:rsidR="00F9556F" w:rsidRPr="009503ED" w:rsidRDefault="00F9556F" w:rsidP="00F9556F">
      <w:pPr>
        <w:pStyle w:val="disclaimer"/>
        <w:rPr>
          <w:b/>
          <w:sz w:val="14"/>
          <w:szCs w:val="10"/>
        </w:rPr>
      </w:pPr>
    </w:p>
    <w:p w14:paraId="4E02F9D8" w14:textId="77777777" w:rsidR="004142E1" w:rsidRDefault="004142E1">
      <w:pPr>
        <w:spacing w:after="200" w:line="276" w:lineRule="auto"/>
        <w:sectPr w:rsidR="004142E1" w:rsidSect="004142E1">
          <w:headerReference w:type="default" r:id="rId7"/>
          <w:footerReference w:type="default" r:id="rId8"/>
          <w:pgSz w:w="12240" w:h="15840" w:code="1"/>
          <w:pgMar w:top="1980" w:right="1440" w:bottom="1440" w:left="1440" w:header="576" w:footer="288" w:gutter="0"/>
          <w:cols w:space="720"/>
          <w:docGrid w:linePitch="360"/>
        </w:sectPr>
      </w:pPr>
    </w:p>
    <w:p w14:paraId="6C966028" w14:textId="2BD66EF1" w:rsidR="0016377C" w:rsidRPr="00A9799D" w:rsidRDefault="005E49EA" w:rsidP="0016377C">
      <w:pPr>
        <w:pStyle w:val="Title"/>
        <w:spacing w:before="480"/>
        <w:rPr>
          <w:sz w:val="50"/>
          <w:szCs w:val="50"/>
        </w:rPr>
      </w:pPr>
      <w:r>
        <w:rPr>
          <w:sz w:val="50"/>
          <w:szCs w:val="50"/>
        </w:rPr>
        <w:lastRenderedPageBreak/>
        <w:t>Summary</w:t>
      </w:r>
    </w:p>
    <w:p w14:paraId="60711117" w14:textId="5647BB2E" w:rsidR="003E745B" w:rsidRDefault="00970DC3" w:rsidP="00970DC3">
      <w:r w:rsidRPr="00970DC3">
        <w:t xml:space="preserve">The energy industry is in a state of transition. A combination of many factors </w:t>
      </w:r>
      <w:r w:rsidR="003E745B">
        <w:t xml:space="preserve">is </w:t>
      </w:r>
      <w:r w:rsidRPr="00970DC3">
        <w:t xml:space="preserve">accelerating the pace of change: </w:t>
      </w:r>
    </w:p>
    <w:p w14:paraId="016C7FAC" w14:textId="16E8B726" w:rsidR="003E745B" w:rsidRDefault="00891346" w:rsidP="001900AC">
      <w:pPr>
        <w:pStyle w:val="ListParagraph"/>
        <w:numPr>
          <w:ilvl w:val="0"/>
          <w:numId w:val="8"/>
        </w:numPr>
      </w:pPr>
      <w:r>
        <w:t>D</w:t>
      </w:r>
      <w:r w:rsidRPr="00970DC3">
        <w:t xml:space="preserve">ecarbonization </w:t>
      </w:r>
      <w:r w:rsidR="00970DC3" w:rsidRPr="00970DC3">
        <w:t>and technological advancements are leading a transition in energy resources</w:t>
      </w:r>
      <w:r w:rsidR="003E745B">
        <w:t>.</w:t>
      </w:r>
      <w:r w:rsidR="00970DC3" w:rsidRPr="00970DC3">
        <w:t xml:space="preserve"> </w:t>
      </w:r>
    </w:p>
    <w:p w14:paraId="2805D02E" w14:textId="009C4F8F" w:rsidR="003E745B" w:rsidRDefault="00970DC3" w:rsidP="001900AC">
      <w:pPr>
        <w:pStyle w:val="ListParagraph"/>
        <w:numPr>
          <w:ilvl w:val="0"/>
          <w:numId w:val="8"/>
        </w:numPr>
      </w:pPr>
      <w:r w:rsidRPr="00970DC3">
        <w:t xml:space="preserve">Interconnection Queue </w:t>
      </w:r>
      <w:r w:rsidR="00891346">
        <w:t>r</w:t>
      </w:r>
      <w:r w:rsidR="00891346" w:rsidRPr="00970DC3">
        <w:t xml:space="preserve">eform </w:t>
      </w:r>
      <w:r w:rsidRPr="00970DC3">
        <w:t>to support the resource transition</w:t>
      </w:r>
      <w:r w:rsidR="00891346">
        <w:t>,</w:t>
      </w:r>
      <w:r w:rsidRPr="00970DC3">
        <w:t xml:space="preserve"> and FERC initiatives </w:t>
      </w:r>
      <w:r w:rsidR="00891346">
        <w:t>to modernize</w:t>
      </w:r>
      <w:r w:rsidRPr="00970DC3">
        <w:t xml:space="preserve"> the transmission grid</w:t>
      </w:r>
      <w:r w:rsidR="00891346">
        <w:t>,</w:t>
      </w:r>
      <w:r w:rsidRPr="00970DC3">
        <w:t xml:space="preserve"> are impacting trans</w:t>
      </w:r>
      <w:r w:rsidR="0006415C">
        <w:t>mission planning and buildout</w:t>
      </w:r>
      <w:r w:rsidR="003E745B">
        <w:t>.</w:t>
      </w:r>
      <w:r w:rsidR="0006415C">
        <w:t xml:space="preserve"> </w:t>
      </w:r>
    </w:p>
    <w:p w14:paraId="66131523" w14:textId="3224B840" w:rsidR="009A0D00" w:rsidRDefault="003E745B" w:rsidP="001900AC">
      <w:pPr>
        <w:pStyle w:val="ListParagraph"/>
        <w:numPr>
          <w:ilvl w:val="0"/>
          <w:numId w:val="8"/>
        </w:numPr>
      </w:pPr>
      <w:r>
        <w:t>T</w:t>
      </w:r>
      <w:r w:rsidR="00970DC3" w:rsidRPr="00970DC3">
        <w:t>hese factors</w:t>
      </w:r>
      <w:r>
        <w:t xml:space="preserve"> plus</w:t>
      </w:r>
      <w:r w:rsidR="00970DC3" w:rsidRPr="00970DC3">
        <w:t xml:space="preserve"> changes in load forecasting</w:t>
      </w:r>
      <w:r>
        <w:t xml:space="preserve"> are impacting </w:t>
      </w:r>
      <w:r w:rsidRPr="00970DC3">
        <w:t xml:space="preserve">energy </w:t>
      </w:r>
      <w:r>
        <w:t>and capacity markets.</w:t>
      </w:r>
    </w:p>
    <w:p w14:paraId="426699A7" w14:textId="30821735" w:rsidR="003E745B" w:rsidRDefault="00C87F71" w:rsidP="001900AC">
      <w:pPr>
        <w:pStyle w:val="ListParagraph"/>
        <w:numPr>
          <w:ilvl w:val="0"/>
          <w:numId w:val="8"/>
        </w:numPr>
      </w:pPr>
      <w:r>
        <w:t xml:space="preserve">Energy </w:t>
      </w:r>
      <w:r w:rsidR="00A40F80">
        <w:t>e</w:t>
      </w:r>
      <w:r w:rsidR="00BC41C2">
        <w:t>quity</w:t>
      </w:r>
      <w:r w:rsidR="003E745B">
        <w:t xml:space="preserve"> </w:t>
      </w:r>
      <w:r>
        <w:t xml:space="preserve">and </w:t>
      </w:r>
      <w:r w:rsidR="00A40F80">
        <w:t>e</w:t>
      </w:r>
      <w:r w:rsidR="00970DC3" w:rsidRPr="00970DC3">
        <w:t xml:space="preserve">nvironmental </w:t>
      </w:r>
      <w:r w:rsidR="00A40F80">
        <w:t>j</w:t>
      </w:r>
      <w:r w:rsidR="00970DC3" w:rsidRPr="00970DC3">
        <w:t xml:space="preserve">ustice </w:t>
      </w:r>
      <w:r w:rsidR="003E745B">
        <w:t>concer</w:t>
      </w:r>
      <w:r w:rsidR="009A0D00">
        <w:t xml:space="preserve">ns </w:t>
      </w:r>
      <w:r w:rsidR="00970DC3" w:rsidRPr="00970DC3">
        <w:t xml:space="preserve">are gaining prominence. </w:t>
      </w:r>
    </w:p>
    <w:p w14:paraId="6BF038E0" w14:textId="09C1140A" w:rsidR="00970DC3" w:rsidRDefault="00970DC3" w:rsidP="00970DC3">
      <w:r w:rsidRPr="00970DC3">
        <w:t>This session will examine all of these factors, with an eye toward navigating the opportunities and challenges that these trends offer.</w:t>
      </w:r>
    </w:p>
    <w:p w14:paraId="670AD0F1" w14:textId="19D74D17" w:rsidR="002A7F1D" w:rsidRPr="000D4772" w:rsidRDefault="002A7F1D" w:rsidP="00E72492">
      <w:pPr>
        <w:pStyle w:val="Heading3"/>
      </w:pPr>
      <w:r w:rsidRPr="000D4772">
        <w:t>Description and Goals for Panel 1</w:t>
      </w:r>
      <w:r w:rsidR="0006415C" w:rsidRPr="000D4772">
        <w:t xml:space="preserve"> – Maintaining Reliability and Efficient Markets Through the Transition</w:t>
      </w:r>
      <w:r w:rsidRPr="000D4772">
        <w:t>:</w:t>
      </w:r>
    </w:p>
    <w:p w14:paraId="526C1D2D" w14:textId="13D3758F" w:rsidR="002A7F1D" w:rsidRDefault="0006415C" w:rsidP="00970DC3">
      <w:r>
        <w:t>Many aspects of the energy industry ecosystem are undergoing significant change simultaneously. The resource mix is changing due to economic factors as well as state policy and public interest in decarbonization and environmental impacts. The climate is changing, as is energy co</w:t>
      </w:r>
      <w:r w:rsidR="00A80E04">
        <w:t>nsumption and consumer behavior;</w:t>
      </w:r>
      <w:r>
        <w:t xml:space="preserve"> these factors are impacting load forecasting and system planning. Transmission planning is impacted by changes in the resource mix, aging infrastructure and state and federal policy initiatives</w:t>
      </w:r>
      <w:r w:rsidR="00A80E04">
        <w:t>. This panel will examine these factors, focusing on implications for RTO planning, markets and operations</w:t>
      </w:r>
      <w:r w:rsidR="00E2720C">
        <w:t>, with the overall goal of maintaining the reliability of the grid and market efficiency</w:t>
      </w:r>
      <w:r w:rsidR="00A80E04">
        <w:t>.</w:t>
      </w:r>
    </w:p>
    <w:p w14:paraId="10505AE8" w14:textId="73B52100" w:rsidR="002A7F1D" w:rsidRPr="000D4772" w:rsidRDefault="002A7F1D" w:rsidP="00E72492">
      <w:pPr>
        <w:pStyle w:val="Heading3"/>
      </w:pPr>
      <w:r w:rsidRPr="000D4772">
        <w:t>Description and Goals for Panel 2</w:t>
      </w:r>
      <w:r w:rsidR="0065274F">
        <w:t xml:space="preserve"> –</w:t>
      </w:r>
      <w:r w:rsidR="0065274F" w:rsidRPr="0065274F">
        <w:t xml:space="preserve"> Ensuring/Enhancing </w:t>
      </w:r>
      <w:r w:rsidR="00C35215" w:rsidRPr="0065274F">
        <w:t xml:space="preserve">Energy </w:t>
      </w:r>
      <w:r w:rsidR="00304310">
        <w:t xml:space="preserve">Equity </w:t>
      </w:r>
      <w:r w:rsidR="00C35215" w:rsidRPr="0065274F">
        <w:t xml:space="preserve">and </w:t>
      </w:r>
      <w:r w:rsidR="0065274F" w:rsidRPr="0065274F">
        <w:t>Environmental Justice Through the Transition</w:t>
      </w:r>
      <w:r w:rsidRPr="000D4772">
        <w:t>:</w:t>
      </w:r>
    </w:p>
    <w:p w14:paraId="5A5A06C9" w14:textId="1681BBB8" w:rsidR="0075182B" w:rsidRDefault="0075182B" w:rsidP="0075182B">
      <w:r>
        <w:t>As the resource mix changes due to economic factors as well as state policy and public interest in decarbonization, there are impacts on RTO</w:t>
      </w:r>
      <w:r w:rsidR="00321CD0">
        <w:t xml:space="preserve"> planning,</w:t>
      </w:r>
      <w:r>
        <w:t xml:space="preserve"> markets</w:t>
      </w:r>
      <w:r w:rsidR="00321CD0">
        <w:t xml:space="preserve"> and</w:t>
      </w:r>
      <w:r>
        <w:t xml:space="preserve"> operations. While responding to these changes, there is growing interest in working toward solutions that not only maintain reliability of the grid, but also ensure </w:t>
      </w:r>
      <w:r w:rsidR="008401EA">
        <w:t>e</w:t>
      </w:r>
      <w:r w:rsidR="00BA7949">
        <w:t xml:space="preserve">nergy </w:t>
      </w:r>
      <w:r w:rsidR="008401EA">
        <w:t xml:space="preserve">equity </w:t>
      </w:r>
      <w:r w:rsidR="00BA7949">
        <w:t xml:space="preserve">and </w:t>
      </w:r>
      <w:r w:rsidR="008401EA">
        <w:t>e</w:t>
      </w:r>
      <w:r>
        <w:t xml:space="preserve">nvironmental </w:t>
      </w:r>
      <w:r w:rsidR="008401EA">
        <w:t>j</w:t>
      </w:r>
      <w:r>
        <w:t>ustice</w:t>
      </w:r>
      <w:r w:rsidR="00BA7949">
        <w:t xml:space="preserve"> </w:t>
      </w:r>
      <w:r>
        <w:t>principles</w:t>
      </w:r>
      <w:r w:rsidR="00BA7949">
        <w:t xml:space="preserve"> and affordability</w:t>
      </w:r>
      <w:r>
        <w:t>.</w:t>
      </w:r>
    </w:p>
    <w:p w14:paraId="1CA89AE0" w14:textId="1130DCC6" w:rsidR="00E2720C" w:rsidRDefault="0075182B" w:rsidP="00A80E04">
      <w:pPr>
        <w:pStyle w:val="ListParagraph"/>
        <w:ind w:left="0"/>
      </w:pPr>
      <w:r>
        <w:t xml:space="preserve">The US Department of Energy defines </w:t>
      </w:r>
      <w:r w:rsidR="008401EA">
        <w:t>e</w:t>
      </w:r>
      <w:r>
        <w:t xml:space="preserve">nvironmental </w:t>
      </w:r>
      <w:r w:rsidR="008401EA">
        <w:t>j</w:t>
      </w:r>
      <w:r>
        <w:t>ustice:</w:t>
      </w:r>
    </w:p>
    <w:p w14:paraId="6EFEFDA4" w14:textId="2DA57EBA" w:rsidR="0075182B" w:rsidRPr="00E72492" w:rsidRDefault="0075182B" w:rsidP="007B712E">
      <w:pPr>
        <w:ind w:left="720"/>
        <w:rPr>
          <w:i/>
        </w:rPr>
      </w:pPr>
      <w:r w:rsidRPr="00E72492">
        <w:rPr>
          <w:i/>
        </w:rPr>
        <w:t>Environmental justice is the fair treatment and meaningful involvement of all people, regardless of race, color, national origin, or income, with respect to the development, implementation, and enforcement of environmental laws, regulations, and policies. Fair treatment means that no population bears a disproportionate share of negative environmental consequences resulting from industrial, municipal and commercial operations or from the execution of federal, state and local laws</w:t>
      </w:r>
      <w:r w:rsidR="002A6800" w:rsidRPr="00E72492">
        <w:rPr>
          <w:i/>
        </w:rPr>
        <w:t>,</w:t>
      </w:r>
      <w:r w:rsidRPr="00E72492">
        <w:rPr>
          <w:i/>
        </w:rPr>
        <w:t xml:space="preserve"> regulations</w:t>
      </w:r>
      <w:r w:rsidR="002A6800" w:rsidRPr="00E72492">
        <w:rPr>
          <w:i/>
        </w:rPr>
        <w:t>,</w:t>
      </w:r>
      <w:r w:rsidRPr="00E72492">
        <w:rPr>
          <w:i/>
        </w:rPr>
        <w:t xml:space="preserve"> and policies. Meaningful involvement requires effective access to decision makers for all, and the ability in all communities to make informed decisions and take positive actions to produce environmental justice for themselves.</w:t>
      </w:r>
    </w:p>
    <w:p w14:paraId="6A4F37F8" w14:textId="0A0B3C5E" w:rsidR="0075182B" w:rsidRDefault="0075182B" w:rsidP="000D4772">
      <w:r>
        <w:t>This panel will address</w:t>
      </w:r>
      <w:r w:rsidR="00BA7949">
        <w:t xml:space="preserve"> </w:t>
      </w:r>
      <w:r w:rsidR="008401EA">
        <w:t>e</w:t>
      </w:r>
      <w:r w:rsidR="00BA7949">
        <w:t xml:space="preserve">nergy </w:t>
      </w:r>
      <w:r w:rsidR="008401EA">
        <w:t xml:space="preserve">equity </w:t>
      </w:r>
      <w:r w:rsidR="00BA7949">
        <w:t>and</w:t>
      </w:r>
      <w:r>
        <w:t xml:space="preserve"> </w:t>
      </w:r>
      <w:r w:rsidR="008401EA">
        <w:t>e</w:t>
      </w:r>
      <w:r>
        <w:t xml:space="preserve">nvironmental </w:t>
      </w:r>
      <w:r w:rsidR="003F0D18">
        <w:t>j</w:t>
      </w:r>
      <w:r>
        <w:t xml:space="preserve">ustice </w:t>
      </w:r>
      <w:r w:rsidR="00BA7949">
        <w:t xml:space="preserve">and affordability </w:t>
      </w:r>
      <w:r>
        <w:t>issues associated with maintaining the reliability of the grid and market efficiency in light of industry changes, focusing the role of the RTO in p</w:t>
      </w:r>
      <w:r w:rsidR="00FC0DA2">
        <w:t>lanning, markets and operations</w:t>
      </w:r>
      <w:r>
        <w:t>.</w:t>
      </w:r>
    </w:p>
    <w:p w14:paraId="72306FAB" w14:textId="399CEE66" w:rsidR="0075182B" w:rsidRDefault="0075182B" w:rsidP="00A80E04">
      <w:pPr>
        <w:pStyle w:val="ListParagraph"/>
        <w:ind w:left="0"/>
      </w:pPr>
    </w:p>
    <w:p w14:paraId="4AE36FFE" w14:textId="77777777" w:rsidR="00553514" w:rsidRDefault="00553514" w:rsidP="00553514"/>
    <w:p w14:paraId="7ABEED83" w14:textId="5C4F4EB5" w:rsidR="001255E5" w:rsidRPr="009E2F5E" w:rsidRDefault="001255E5" w:rsidP="001255E5">
      <w:pPr>
        <w:pStyle w:val="disclaimer"/>
        <w:rPr>
          <w:b/>
          <w:i/>
        </w:rPr>
      </w:pPr>
      <w:r w:rsidRPr="009E2F5E">
        <w:rPr>
          <w:b/>
          <w:i/>
        </w:rPr>
        <w:t>Anti-trust:</w:t>
      </w:r>
    </w:p>
    <w:p w14:paraId="09AAAD02" w14:textId="317336C6" w:rsidR="001255E5" w:rsidRPr="009E2F5E" w:rsidRDefault="001255E5" w:rsidP="009E2F5E">
      <w:pPr>
        <w:pStyle w:val="disclaimer"/>
        <w:spacing w:after="120"/>
        <w:ind w:right="-360"/>
      </w:pPr>
      <w:r w:rsidRPr="009E2F5E">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9E2F5E">
        <w:t xml:space="preserve"> </w:t>
      </w:r>
      <w:r w:rsidRPr="009E2F5E">
        <w:t>If any of these items are discussed the chair will re-direct the conversation.</w:t>
      </w:r>
      <w:r w:rsidR="009E2F5E">
        <w:t xml:space="preserve"> </w:t>
      </w:r>
      <w:r w:rsidRPr="009E2F5E">
        <w:t>If the conversation still persists, parties will be asked to leave the meeting or the meeting will be adjourned.</w:t>
      </w:r>
    </w:p>
    <w:p w14:paraId="0AA4D941" w14:textId="77777777" w:rsidR="001255E5" w:rsidRPr="009E2F5E" w:rsidRDefault="001255E5" w:rsidP="009E2F5E">
      <w:pPr>
        <w:pStyle w:val="disclaimer"/>
        <w:ind w:right="-360"/>
        <w:rPr>
          <w:b/>
          <w:i/>
        </w:rPr>
      </w:pPr>
      <w:r w:rsidRPr="009E2F5E">
        <w:rPr>
          <w:b/>
          <w:i/>
        </w:rPr>
        <w:t>Code of Conduct:</w:t>
      </w:r>
    </w:p>
    <w:p w14:paraId="712F3E4B" w14:textId="77777777" w:rsidR="001255E5" w:rsidRPr="009E2F5E" w:rsidRDefault="001255E5" w:rsidP="009E2F5E">
      <w:pPr>
        <w:pStyle w:val="disclaimer"/>
        <w:spacing w:after="120"/>
        <w:ind w:right="-360"/>
      </w:pPr>
      <w:r w:rsidRPr="009E2F5E">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C3F8B75" w14:textId="5F48037C" w:rsidR="001255E5" w:rsidRPr="009E2F5E" w:rsidRDefault="001255E5" w:rsidP="009E2F5E">
      <w:pPr>
        <w:pStyle w:val="disclaimer"/>
        <w:ind w:right="-360"/>
        <w:rPr>
          <w:b/>
          <w:i/>
        </w:rPr>
      </w:pPr>
      <w:r w:rsidRPr="009E2F5E">
        <w:rPr>
          <w:b/>
          <w:i/>
        </w:rPr>
        <w:t xml:space="preserve">Public Meetings/Media Participation: </w:t>
      </w:r>
    </w:p>
    <w:p w14:paraId="07BB754F" w14:textId="2316B4B4" w:rsidR="00A2763B" w:rsidRPr="009E2F5E" w:rsidRDefault="001255E5" w:rsidP="009E2F5E">
      <w:pPr>
        <w:pStyle w:val="disclaimer"/>
        <w:ind w:right="-360"/>
        <w:rPr>
          <w:rFonts w:ascii="Arial" w:eastAsia="Calibri" w:hAnsi="Arial"/>
        </w:rPr>
      </w:pPr>
      <w:r w:rsidRPr="009E2F5E">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sectPr w:rsidR="00A2763B" w:rsidRPr="009E2F5E" w:rsidSect="009E2F5E">
      <w:pgSz w:w="12240" w:h="15840" w:code="1"/>
      <w:pgMar w:top="2430" w:right="1440" w:bottom="135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EA1C7" w14:textId="77777777" w:rsidR="00C25484" w:rsidRDefault="00C25484" w:rsidP="003D4105">
      <w:pPr>
        <w:spacing w:after="0" w:line="240" w:lineRule="auto"/>
      </w:pPr>
      <w:r>
        <w:separator/>
      </w:r>
    </w:p>
  </w:endnote>
  <w:endnote w:type="continuationSeparator" w:id="0">
    <w:p w14:paraId="4AC093E2" w14:textId="77777777" w:rsidR="00C25484" w:rsidRDefault="00C25484" w:rsidP="003D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DA50" w14:textId="678B04D3" w:rsidR="003D4105" w:rsidRDefault="009E2F5E">
    <w:pPr>
      <w:pStyle w:val="Footer"/>
    </w:pPr>
    <w:r>
      <w:rPr>
        <w:noProof/>
      </w:rPr>
      <mc:AlternateContent>
        <mc:Choice Requires="wps">
          <w:drawing>
            <wp:anchor distT="0" distB="0" distL="114300" distR="114300" simplePos="0" relativeHeight="251655680" behindDoc="0" locked="0" layoutInCell="1" allowOverlap="1" wp14:anchorId="37304042" wp14:editId="6EA7C8F7">
              <wp:simplePos x="0" y="0"/>
              <wp:positionH relativeFrom="column">
                <wp:posOffset>5353050</wp:posOffset>
              </wp:positionH>
              <wp:positionV relativeFrom="paragraph">
                <wp:posOffset>-321505</wp:posOffset>
              </wp:positionV>
              <wp:extent cx="901065" cy="269240"/>
              <wp:effectExtent l="0" t="0" r="0" b="0"/>
              <wp:wrapNone/>
              <wp:docPr id="3" name="Text Box 3"/>
              <wp:cNvGraphicFramePr/>
              <a:graphic xmlns:a="http://schemas.openxmlformats.org/drawingml/2006/main">
                <a:graphicData uri="http://schemas.microsoft.com/office/word/2010/wordprocessingShape">
                  <wps:wsp>
                    <wps:cNvSpPr txBox="1"/>
                    <wps:spPr>
                      <a:xfrm>
                        <a:off x="0" y="0"/>
                        <a:ext cx="90106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3DF0A2" w14:textId="446E95D6" w:rsidR="003D4105" w:rsidRPr="002A450E" w:rsidRDefault="001255E5">
                          <w:pPr>
                            <w:rPr>
                              <w:b/>
                              <w:color w:val="FFFFFF" w:themeColor="background1"/>
                            </w:rPr>
                          </w:pPr>
                          <w:r>
                            <w:rPr>
                              <w:b/>
                              <w:color w:val="FFFFFF" w:themeColor="background1"/>
                            </w:rPr>
                            <w:t>PJM©2022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04042" id="_x0000_t202" coordsize="21600,21600" o:spt="202" path="m,l,21600r21600,l21600,xe">
              <v:stroke joinstyle="miter"/>
              <v:path gradientshapeok="t" o:connecttype="rect"/>
            </v:shapetype>
            <v:shape id="Text Box 3" o:spid="_x0000_s1026" type="#_x0000_t202" style="position:absolute;margin-left:421.5pt;margin-top:-25.3pt;width:70.95pt;height:2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" filled="f" stroked="f" strokeweight=".5pt">
              <v:textbox>
                <w:txbxContent>
                  <w:p w14:paraId="6D3DF0A2" w14:textId="446E95D6" w:rsidR="003D4105" w:rsidRPr="002A450E" w:rsidRDefault="001255E5">
                    <w:pPr>
                      <w:rPr>
                        <w:b/>
                        <w:color w:val="FFFFFF" w:themeColor="background1"/>
                      </w:rPr>
                    </w:pPr>
                    <w:r>
                      <w:rPr>
                        <w:b/>
                        <w:color w:val="FFFFFF" w:themeColor="background1"/>
                      </w:rPr>
                      <w:t>PJM©2022</w:t>
                    </w:r>
                  </w:p>
                </w:txbxContent>
              </v:textbox>
            </v:shape>
          </w:pict>
        </mc:Fallback>
      </mc:AlternateContent>
    </w:r>
    <w:r w:rsidRPr="007F0F69">
      <w:rPr>
        <w:noProof/>
      </w:rPr>
      <w:drawing>
        <wp:anchor distT="0" distB="0" distL="114300" distR="114300" simplePos="0" relativeHeight="251656704" behindDoc="1" locked="0" layoutInCell="1" allowOverlap="1" wp14:anchorId="06FDE855" wp14:editId="4361F945">
          <wp:simplePos x="0" y="0"/>
          <wp:positionH relativeFrom="column">
            <wp:posOffset>-925754</wp:posOffset>
          </wp:positionH>
          <wp:positionV relativeFrom="paragraph">
            <wp:posOffset>-683358</wp:posOffset>
          </wp:positionV>
          <wp:extent cx="7798777" cy="1100327"/>
          <wp:effectExtent l="0" t="0" r="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98777" cy="110032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C94F9" w14:textId="77777777" w:rsidR="00C25484" w:rsidRDefault="00C25484" w:rsidP="003D4105">
      <w:pPr>
        <w:spacing w:after="0" w:line="240" w:lineRule="auto"/>
      </w:pPr>
      <w:r>
        <w:separator/>
      </w:r>
    </w:p>
  </w:footnote>
  <w:footnote w:type="continuationSeparator" w:id="0">
    <w:p w14:paraId="3E20FF24" w14:textId="77777777" w:rsidR="00C25484" w:rsidRDefault="00C25484" w:rsidP="003D4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241E" w14:textId="6223DC6D" w:rsidR="001255E5" w:rsidRPr="001255E5" w:rsidRDefault="007F2C0D" w:rsidP="00D058D7">
    <w:pPr>
      <w:pStyle w:val="Header"/>
      <w:tabs>
        <w:tab w:val="clear" w:pos="9360"/>
      </w:tabs>
      <w:ind w:right="-450"/>
      <w:jc w:val="right"/>
      <w:rPr>
        <w:color w:val="013366" w:themeColor="accent1"/>
        <w:sz w:val="28"/>
      </w:rPr>
    </w:pPr>
    <w:r w:rsidRPr="007F2C0D">
      <w:rPr>
        <w:noProof/>
      </w:rPr>
      <w:drawing>
        <wp:anchor distT="0" distB="0" distL="114300" distR="114300" simplePos="0" relativeHeight="251658752" behindDoc="1" locked="0" layoutInCell="1" allowOverlap="1" wp14:anchorId="58549A11" wp14:editId="12269B34">
          <wp:simplePos x="0" y="0"/>
          <wp:positionH relativeFrom="column">
            <wp:posOffset>-424912</wp:posOffset>
          </wp:positionH>
          <wp:positionV relativeFrom="paragraph">
            <wp:posOffset>-2540</wp:posOffset>
          </wp:positionV>
          <wp:extent cx="2766060" cy="970116"/>
          <wp:effectExtent l="0" t="0" r="0"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r="59912"/>
                  <a:stretch/>
                </pic:blipFill>
                <pic:spPr bwMode="auto">
                  <a:xfrm>
                    <a:off x="0" y="0"/>
                    <a:ext cx="2766060" cy="9701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40D" w:rsidRPr="0092040D">
      <w:t xml:space="preserve"> </w:t>
    </w:r>
  </w:p>
  <w:p w14:paraId="1D003ABF" w14:textId="31483FF9" w:rsidR="003D4105" w:rsidRDefault="0016377C" w:rsidP="003D4105">
    <w:pPr>
      <w:pStyle w:val="Header"/>
      <w:jc w:val="both"/>
    </w:pPr>
    <w:r w:rsidRPr="007F2C0D">
      <w:rPr>
        <w:noProof/>
      </w:rPr>
      <mc:AlternateContent>
        <mc:Choice Requires="wps">
          <w:drawing>
            <wp:anchor distT="0" distB="0" distL="114300" distR="114300" simplePos="0" relativeHeight="251657728" behindDoc="0" locked="0" layoutInCell="1" allowOverlap="1" wp14:anchorId="308C4A8B" wp14:editId="368BC9DB">
              <wp:simplePos x="0" y="0"/>
              <wp:positionH relativeFrom="column">
                <wp:posOffset>1103630</wp:posOffset>
              </wp:positionH>
              <wp:positionV relativeFrom="paragraph">
                <wp:posOffset>480500</wp:posOffset>
              </wp:positionV>
              <wp:extent cx="5029200" cy="28575"/>
              <wp:effectExtent l="0" t="0" r="19050" b="28575"/>
              <wp:wrapNone/>
              <wp:docPr id="4" name="Straight Connector 4"/>
              <wp:cNvGraphicFramePr/>
              <a:graphic xmlns:a="http://schemas.openxmlformats.org/drawingml/2006/main">
                <a:graphicData uri="http://schemas.microsoft.com/office/word/2010/wordprocessingShape">
                  <wps:wsp>
                    <wps:cNvCnPr/>
                    <wps:spPr>
                      <a:xfrm flipH="1">
                        <a:off x="0" y="0"/>
                        <a:ext cx="5029200" cy="28575"/>
                      </a:xfrm>
                      <a:prstGeom prst="line">
                        <a:avLst/>
                      </a:prstGeom>
                      <a:ln w="19050">
                        <a:solidFill>
                          <a:srgbClr val="003A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A5021" id="Straight Connector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pt,37.85pt" to="482.9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" strokecolor="#003a5d"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2FF7"/>
    <w:multiLevelType w:val="multilevel"/>
    <w:tmpl w:val="F244BC0E"/>
    <w:lvl w:ilvl="0">
      <w:start w:val="1"/>
      <w:numFmt w:val="bullet"/>
      <w:pStyle w:val="unorderedlist"/>
      <w:lvlText w:val=""/>
      <w:lvlJc w:val="left"/>
      <w:pPr>
        <w:ind w:left="504" w:hanging="288"/>
      </w:pPr>
      <w:rPr>
        <w:rFonts w:ascii="Symbol" w:hAnsi="Symbol" w:hint="default"/>
        <w:color w:val="ED7D31"/>
      </w:rPr>
    </w:lvl>
    <w:lvl w:ilvl="1">
      <w:start w:val="1"/>
      <w:numFmt w:val="bullet"/>
      <w:lvlText w:val="−"/>
      <w:lvlJc w:val="left"/>
      <w:pPr>
        <w:ind w:left="648" w:hanging="216"/>
      </w:pPr>
      <w:rPr>
        <w:rFonts w:ascii="Arial Narrow" w:hAnsi="Arial Narrow" w:hint="default"/>
        <w:color w:val="auto"/>
      </w:rPr>
    </w:lvl>
    <w:lvl w:ilvl="2">
      <w:start w:val="1"/>
      <w:numFmt w:val="bullet"/>
      <w:lvlText w:val=""/>
      <w:lvlJc w:val="left"/>
      <w:pPr>
        <w:ind w:left="1080" w:hanging="216"/>
      </w:pPr>
      <w:rPr>
        <w:rFonts w:ascii="Wingdings" w:hAnsi="Wingdings" w:hint="default"/>
        <w:color w:val="ED7D31"/>
      </w:rPr>
    </w:lvl>
    <w:lvl w:ilvl="3">
      <w:start w:val="1"/>
      <w:numFmt w:val="bullet"/>
      <w:lvlText w:val=""/>
      <w:lvlJc w:val="left"/>
      <w:pPr>
        <w:ind w:left="1512" w:hanging="216"/>
      </w:pPr>
      <w:rPr>
        <w:rFonts w:ascii="Symbol" w:hAnsi="Symbol" w:hint="default"/>
      </w:rPr>
    </w:lvl>
    <w:lvl w:ilvl="4">
      <w:start w:val="1"/>
      <w:numFmt w:val="bullet"/>
      <w:lvlText w:val="o"/>
      <w:lvlJc w:val="left"/>
      <w:pPr>
        <w:ind w:left="1944" w:hanging="216"/>
      </w:pPr>
      <w:rPr>
        <w:rFonts w:ascii="Courier New" w:hAnsi="Courier New" w:cs="Courier New" w:hint="default"/>
      </w:rPr>
    </w:lvl>
    <w:lvl w:ilvl="5">
      <w:start w:val="1"/>
      <w:numFmt w:val="bullet"/>
      <w:lvlText w:val=""/>
      <w:lvlJc w:val="left"/>
      <w:pPr>
        <w:ind w:left="2376" w:hanging="216"/>
      </w:pPr>
      <w:rPr>
        <w:rFonts w:ascii="Wingdings" w:hAnsi="Wingdings" w:hint="default"/>
      </w:rPr>
    </w:lvl>
    <w:lvl w:ilvl="6">
      <w:start w:val="1"/>
      <w:numFmt w:val="bullet"/>
      <w:lvlText w:val=""/>
      <w:lvlJc w:val="left"/>
      <w:pPr>
        <w:ind w:left="2808" w:hanging="216"/>
      </w:pPr>
      <w:rPr>
        <w:rFonts w:ascii="Symbol" w:hAnsi="Symbol" w:hint="default"/>
      </w:rPr>
    </w:lvl>
    <w:lvl w:ilvl="7">
      <w:start w:val="1"/>
      <w:numFmt w:val="bullet"/>
      <w:lvlText w:val="o"/>
      <w:lvlJc w:val="left"/>
      <w:pPr>
        <w:ind w:left="3240" w:hanging="216"/>
      </w:pPr>
      <w:rPr>
        <w:rFonts w:ascii="Courier New" w:hAnsi="Courier New" w:cs="Courier New" w:hint="default"/>
      </w:rPr>
    </w:lvl>
    <w:lvl w:ilvl="8">
      <w:start w:val="1"/>
      <w:numFmt w:val="bullet"/>
      <w:lvlText w:val=""/>
      <w:lvlJc w:val="left"/>
      <w:pPr>
        <w:ind w:left="3672" w:hanging="216"/>
      </w:pPr>
      <w:rPr>
        <w:rFonts w:ascii="Wingdings" w:hAnsi="Wingdings" w:hint="default"/>
      </w:rPr>
    </w:lvl>
  </w:abstractNum>
  <w:abstractNum w:abstractNumId="1" w15:restartNumberingAfterBreak="0">
    <w:nsid w:val="15174734"/>
    <w:multiLevelType w:val="hybridMultilevel"/>
    <w:tmpl w:val="C9D20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5C6B5C"/>
    <w:multiLevelType w:val="hybridMultilevel"/>
    <w:tmpl w:val="9C20F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FB4DDA"/>
    <w:multiLevelType w:val="hybridMultilevel"/>
    <w:tmpl w:val="6B1814F2"/>
    <w:lvl w:ilvl="0" w:tplc="D102C02C">
      <w:start w:val="1"/>
      <w:numFmt w:val="bullet"/>
      <w:pStyle w:val="List-BulletsBOLD"/>
      <w:lvlText w:val=""/>
      <w:lvlJc w:val="left"/>
      <w:pPr>
        <w:ind w:left="720" w:hanging="360"/>
      </w:pPr>
      <w:rPr>
        <w:rFonts w:ascii="Symbol" w:hAnsi="Symbol" w:hint="default"/>
        <w:color w:val="008F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1435D"/>
    <w:multiLevelType w:val="hybridMultilevel"/>
    <w:tmpl w:val="227C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A83F89"/>
    <w:multiLevelType w:val="hybridMultilevel"/>
    <w:tmpl w:val="32EC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
  </w:num>
  <w:num w:numId="4">
    <w:abstractNumId w:val="3"/>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05"/>
    <w:rsid w:val="00003D32"/>
    <w:rsid w:val="000173E3"/>
    <w:rsid w:val="000223E5"/>
    <w:rsid w:val="00024295"/>
    <w:rsid w:val="00060900"/>
    <w:rsid w:val="00061CE3"/>
    <w:rsid w:val="0006415C"/>
    <w:rsid w:val="00094698"/>
    <w:rsid w:val="000A7BC6"/>
    <w:rsid w:val="000B4D35"/>
    <w:rsid w:val="000B550B"/>
    <w:rsid w:val="000D2908"/>
    <w:rsid w:val="000D4772"/>
    <w:rsid w:val="000E3270"/>
    <w:rsid w:val="000E717E"/>
    <w:rsid w:val="001057B9"/>
    <w:rsid w:val="001255E5"/>
    <w:rsid w:val="00126AB2"/>
    <w:rsid w:val="0013349C"/>
    <w:rsid w:val="00141DF0"/>
    <w:rsid w:val="00161265"/>
    <w:rsid w:val="0016377C"/>
    <w:rsid w:val="00164B2A"/>
    <w:rsid w:val="00170FC7"/>
    <w:rsid w:val="00172151"/>
    <w:rsid w:val="00172BED"/>
    <w:rsid w:val="001900AC"/>
    <w:rsid w:val="001B45F4"/>
    <w:rsid w:val="001C256E"/>
    <w:rsid w:val="001C6162"/>
    <w:rsid w:val="001C7C1B"/>
    <w:rsid w:val="00222E68"/>
    <w:rsid w:val="0022403B"/>
    <w:rsid w:val="002322E3"/>
    <w:rsid w:val="002706B9"/>
    <w:rsid w:val="00271923"/>
    <w:rsid w:val="00285852"/>
    <w:rsid w:val="0028647B"/>
    <w:rsid w:val="00290D7D"/>
    <w:rsid w:val="002A450E"/>
    <w:rsid w:val="002A548F"/>
    <w:rsid w:val="002A5D27"/>
    <w:rsid w:val="002A6800"/>
    <w:rsid w:val="002A7F1D"/>
    <w:rsid w:val="002C1454"/>
    <w:rsid w:val="002C1EE9"/>
    <w:rsid w:val="002D0E57"/>
    <w:rsid w:val="002E38CB"/>
    <w:rsid w:val="00304310"/>
    <w:rsid w:val="00321CD0"/>
    <w:rsid w:val="00325104"/>
    <w:rsid w:val="003315F7"/>
    <w:rsid w:val="003715EE"/>
    <w:rsid w:val="003822BB"/>
    <w:rsid w:val="00384E0F"/>
    <w:rsid w:val="0039374D"/>
    <w:rsid w:val="00393A10"/>
    <w:rsid w:val="003D4105"/>
    <w:rsid w:val="003E0317"/>
    <w:rsid w:val="003E0E20"/>
    <w:rsid w:val="003E745B"/>
    <w:rsid w:val="003F0D18"/>
    <w:rsid w:val="004142E1"/>
    <w:rsid w:val="00416AB8"/>
    <w:rsid w:val="00427380"/>
    <w:rsid w:val="004B152D"/>
    <w:rsid w:val="004B241A"/>
    <w:rsid w:val="004C2365"/>
    <w:rsid w:val="004C26A0"/>
    <w:rsid w:val="004F32EE"/>
    <w:rsid w:val="00513EA4"/>
    <w:rsid w:val="005204F1"/>
    <w:rsid w:val="00541264"/>
    <w:rsid w:val="00542611"/>
    <w:rsid w:val="00553514"/>
    <w:rsid w:val="00555A33"/>
    <w:rsid w:val="005823EC"/>
    <w:rsid w:val="00584E9C"/>
    <w:rsid w:val="005D32C2"/>
    <w:rsid w:val="005D5D2C"/>
    <w:rsid w:val="005D5E4C"/>
    <w:rsid w:val="005E49EA"/>
    <w:rsid w:val="0062673A"/>
    <w:rsid w:val="00637E06"/>
    <w:rsid w:val="0065274F"/>
    <w:rsid w:val="00660626"/>
    <w:rsid w:val="00663A7A"/>
    <w:rsid w:val="0067405A"/>
    <w:rsid w:val="00675884"/>
    <w:rsid w:val="00686B3F"/>
    <w:rsid w:val="006A0ABC"/>
    <w:rsid w:val="006B3928"/>
    <w:rsid w:val="006B69B4"/>
    <w:rsid w:val="00706D90"/>
    <w:rsid w:val="007202C2"/>
    <w:rsid w:val="00725856"/>
    <w:rsid w:val="00731B4F"/>
    <w:rsid w:val="00747FE2"/>
    <w:rsid w:val="0075182B"/>
    <w:rsid w:val="00764A60"/>
    <w:rsid w:val="007736CE"/>
    <w:rsid w:val="00785A05"/>
    <w:rsid w:val="00791CE2"/>
    <w:rsid w:val="007A18CA"/>
    <w:rsid w:val="007B24D1"/>
    <w:rsid w:val="007B712E"/>
    <w:rsid w:val="007C343A"/>
    <w:rsid w:val="007D66F4"/>
    <w:rsid w:val="007E0F68"/>
    <w:rsid w:val="007E6B86"/>
    <w:rsid w:val="007F0F69"/>
    <w:rsid w:val="007F2C0D"/>
    <w:rsid w:val="007F4FE3"/>
    <w:rsid w:val="0080681A"/>
    <w:rsid w:val="008322A6"/>
    <w:rsid w:val="0083495E"/>
    <w:rsid w:val="008401EA"/>
    <w:rsid w:val="008414B8"/>
    <w:rsid w:val="00844FD6"/>
    <w:rsid w:val="008509E1"/>
    <w:rsid w:val="00891346"/>
    <w:rsid w:val="008D5771"/>
    <w:rsid w:val="008E5114"/>
    <w:rsid w:val="0092040D"/>
    <w:rsid w:val="009206E0"/>
    <w:rsid w:val="00927783"/>
    <w:rsid w:val="00934874"/>
    <w:rsid w:val="00945303"/>
    <w:rsid w:val="009503ED"/>
    <w:rsid w:val="00957D9E"/>
    <w:rsid w:val="00964C59"/>
    <w:rsid w:val="00970DC3"/>
    <w:rsid w:val="00991B00"/>
    <w:rsid w:val="009A0D00"/>
    <w:rsid w:val="009A11E6"/>
    <w:rsid w:val="009A7C47"/>
    <w:rsid w:val="009B0851"/>
    <w:rsid w:val="009D4CC4"/>
    <w:rsid w:val="009E0822"/>
    <w:rsid w:val="009E2F5E"/>
    <w:rsid w:val="009E76D4"/>
    <w:rsid w:val="009F5691"/>
    <w:rsid w:val="009F7AAF"/>
    <w:rsid w:val="00A00FB7"/>
    <w:rsid w:val="00A174BD"/>
    <w:rsid w:val="00A2763B"/>
    <w:rsid w:val="00A40F80"/>
    <w:rsid w:val="00A45A6B"/>
    <w:rsid w:val="00A5405D"/>
    <w:rsid w:val="00A549BA"/>
    <w:rsid w:val="00A65BAA"/>
    <w:rsid w:val="00A71062"/>
    <w:rsid w:val="00A80E04"/>
    <w:rsid w:val="00A87D55"/>
    <w:rsid w:val="00A9799D"/>
    <w:rsid w:val="00AA1FD2"/>
    <w:rsid w:val="00AB6225"/>
    <w:rsid w:val="00AB7DE5"/>
    <w:rsid w:val="00AC04FB"/>
    <w:rsid w:val="00AD5756"/>
    <w:rsid w:val="00B01683"/>
    <w:rsid w:val="00B06FF9"/>
    <w:rsid w:val="00B12F68"/>
    <w:rsid w:val="00B26ADF"/>
    <w:rsid w:val="00B304F4"/>
    <w:rsid w:val="00B4186B"/>
    <w:rsid w:val="00B769BB"/>
    <w:rsid w:val="00B977C4"/>
    <w:rsid w:val="00BA7949"/>
    <w:rsid w:val="00BC234C"/>
    <w:rsid w:val="00BC41C2"/>
    <w:rsid w:val="00BE2D6E"/>
    <w:rsid w:val="00BE4154"/>
    <w:rsid w:val="00BE7353"/>
    <w:rsid w:val="00C25484"/>
    <w:rsid w:val="00C35215"/>
    <w:rsid w:val="00C44690"/>
    <w:rsid w:val="00C52CE5"/>
    <w:rsid w:val="00C549D1"/>
    <w:rsid w:val="00C8490F"/>
    <w:rsid w:val="00C87100"/>
    <w:rsid w:val="00C87F71"/>
    <w:rsid w:val="00CB195F"/>
    <w:rsid w:val="00CB66C2"/>
    <w:rsid w:val="00CC01C8"/>
    <w:rsid w:val="00CC509E"/>
    <w:rsid w:val="00CE2B04"/>
    <w:rsid w:val="00CE43AF"/>
    <w:rsid w:val="00CE5F63"/>
    <w:rsid w:val="00D058D7"/>
    <w:rsid w:val="00D10BCC"/>
    <w:rsid w:val="00D24F65"/>
    <w:rsid w:val="00D4530E"/>
    <w:rsid w:val="00D769DD"/>
    <w:rsid w:val="00D83059"/>
    <w:rsid w:val="00DC176C"/>
    <w:rsid w:val="00DD0592"/>
    <w:rsid w:val="00DD182D"/>
    <w:rsid w:val="00DE72C4"/>
    <w:rsid w:val="00DF2BD8"/>
    <w:rsid w:val="00DF498A"/>
    <w:rsid w:val="00DF5CA3"/>
    <w:rsid w:val="00E00A25"/>
    <w:rsid w:val="00E0186D"/>
    <w:rsid w:val="00E13991"/>
    <w:rsid w:val="00E13B6B"/>
    <w:rsid w:val="00E15001"/>
    <w:rsid w:val="00E24E86"/>
    <w:rsid w:val="00E2720C"/>
    <w:rsid w:val="00E36D53"/>
    <w:rsid w:val="00E67857"/>
    <w:rsid w:val="00E72492"/>
    <w:rsid w:val="00E81B01"/>
    <w:rsid w:val="00EB74AC"/>
    <w:rsid w:val="00EC23CA"/>
    <w:rsid w:val="00EC3108"/>
    <w:rsid w:val="00ED0636"/>
    <w:rsid w:val="00ED097E"/>
    <w:rsid w:val="00F008DD"/>
    <w:rsid w:val="00F00A31"/>
    <w:rsid w:val="00F13378"/>
    <w:rsid w:val="00F32A71"/>
    <w:rsid w:val="00F42EF9"/>
    <w:rsid w:val="00F54D5E"/>
    <w:rsid w:val="00F70230"/>
    <w:rsid w:val="00F9556F"/>
    <w:rsid w:val="00FC0DA2"/>
    <w:rsid w:val="00FC6991"/>
    <w:rsid w:val="00FE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A435C"/>
  <w15:docId w15:val="{84D5A897-DA28-4B3D-A179-09B8DC81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5E"/>
    <w:pPr>
      <w:spacing w:after="120" w:line="280" w:lineRule="exact"/>
    </w:pPr>
    <w:rPr>
      <w:rFonts w:ascii="Arial Narrow" w:eastAsia="Calibri" w:hAnsi="Arial Narrow" w:cs="Times New Roman"/>
    </w:rPr>
  </w:style>
  <w:style w:type="paragraph" w:styleId="Heading1">
    <w:name w:val="heading 1"/>
    <w:basedOn w:val="Normal"/>
    <w:next w:val="Normal"/>
    <w:link w:val="Heading1Char"/>
    <w:uiPriority w:val="9"/>
    <w:qFormat/>
    <w:rsid w:val="00F9556F"/>
    <w:pPr>
      <w:keepNext/>
      <w:keepLines/>
      <w:spacing w:before="240" w:after="0"/>
      <w:outlineLvl w:val="0"/>
    </w:pPr>
    <w:rPr>
      <w:rFonts w:asciiTheme="majorHAnsi" w:eastAsiaTheme="majorEastAsia" w:hAnsiTheme="majorHAnsi" w:cstheme="majorBidi"/>
      <w:color w:val="00264C" w:themeColor="accent1" w:themeShade="BF"/>
      <w:sz w:val="32"/>
      <w:szCs w:val="32"/>
    </w:rPr>
  </w:style>
  <w:style w:type="paragraph" w:styleId="Heading2">
    <w:name w:val="heading 2"/>
    <w:basedOn w:val="Normal"/>
    <w:next w:val="Normal"/>
    <w:link w:val="Heading2Char"/>
    <w:uiPriority w:val="9"/>
    <w:unhideWhenUsed/>
    <w:qFormat/>
    <w:rsid w:val="003D4105"/>
    <w:pPr>
      <w:keepNext/>
      <w:spacing w:before="240" w:after="60"/>
      <w:outlineLvl w:val="1"/>
    </w:pPr>
    <w:rPr>
      <w:rFonts w:eastAsia="Times New Roman"/>
      <w:b/>
      <w:bCs/>
      <w:i/>
      <w:iCs/>
      <w:color w:val="00B0F0"/>
      <w:sz w:val="28"/>
      <w:szCs w:val="28"/>
    </w:rPr>
  </w:style>
  <w:style w:type="paragraph" w:styleId="Heading3">
    <w:name w:val="heading 3"/>
    <w:basedOn w:val="Normal"/>
    <w:next w:val="Normal"/>
    <w:link w:val="Heading3Char"/>
    <w:uiPriority w:val="9"/>
    <w:unhideWhenUsed/>
    <w:qFormat/>
    <w:rsid w:val="003D4105"/>
    <w:pPr>
      <w:keepNext/>
      <w:spacing w:before="240" w:after="60"/>
      <w:outlineLvl w:val="2"/>
    </w:pPr>
    <w:rPr>
      <w:rFonts w:eastAsia="Times New Roman"/>
      <w:b/>
      <w:bCs/>
      <w:color w:val="17365D"/>
      <w:szCs w:val="26"/>
    </w:rPr>
  </w:style>
  <w:style w:type="paragraph" w:styleId="Heading4">
    <w:name w:val="heading 4"/>
    <w:basedOn w:val="Normal"/>
    <w:next w:val="Normal"/>
    <w:link w:val="Heading4Char"/>
    <w:uiPriority w:val="9"/>
    <w:unhideWhenUsed/>
    <w:qFormat/>
    <w:rsid w:val="003D4105"/>
    <w:pPr>
      <w:keepNext/>
      <w:spacing w:before="240" w:after="6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105"/>
    <w:pPr>
      <w:tabs>
        <w:tab w:val="center" w:pos="4680"/>
        <w:tab w:val="right" w:pos="9360"/>
      </w:tabs>
      <w:spacing w:after="0"/>
    </w:pPr>
  </w:style>
  <w:style w:type="character" w:customStyle="1" w:styleId="HeaderChar">
    <w:name w:val="Header Char"/>
    <w:basedOn w:val="DefaultParagraphFont"/>
    <w:link w:val="Header"/>
    <w:uiPriority w:val="99"/>
    <w:rsid w:val="003D4105"/>
    <w:rPr>
      <w:rFonts w:ascii="Arial Narrow" w:hAnsi="Arial Narrow" w:cs="Times New Roman"/>
      <w:sz w:val="24"/>
      <w:szCs w:val="24"/>
    </w:rPr>
  </w:style>
  <w:style w:type="paragraph" w:styleId="Footer">
    <w:name w:val="footer"/>
    <w:basedOn w:val="Normal"/>
    <w:link w:val="FooterChar"/>
    <w:uiPriority w:val="99"/>
    <w:unhideWhenUsed/>
    <w:rsid w:val="003D4105"/>
    <w:pPr>
      <w:tabs>
        <w:tab w:val="center" w:pos="4680"/>
        <w:tab w:val="right" w:pos="9360"/>
      </w:tabs>
      <w:spacing w:after="0"/>
    </w:pPr>
  </w:style>
  <w:style w:type="character" w:customStyle="1" w:styleId="FooterChar">
    <w:name w:val="Footer Char"/>
    <w:basedOn w:val="DefaultParagraphFont"/>
    <w:link w:val="Footer"/>
    <w:uiPriority w:val="99"/>
    <w:rsid w:val="003D4105"/>
    <w:rPr>
      <w:rFonts w:ascii="Arial Narrow" w:hAnsi="Arial Narrow" w:cs="Times New Roman"/>
      <w:sz w:val="24"/>
      <w:szCs w:val="24"/>
    </w:rPr>
  </w:style>
  <w:style w:type="character" w:customStyle="1" w:styleId="Heading2Char">
    <w:name w:val="Heading 2 Char"/>
    <w:basedOn w:val="DefaultParagraphFont"/>
    <w:link w:val="Heading2"/>
    <w:uiPriority w:val="9"/>
    <w:rsid w:val="003D4105"/>
    <w:rPr>
      <w:rFonts w:ascii="Arial Narrow" w:hAnsi="Arial Narrow" w:cs="Times New Roman"/>
      <w:b/>
      <w:bCs/>
      <w:i/>
      <w:iCs/>
      <w:color w:val="00B0F0"/>
      <w:sz w:val="28"/>
      <w:szCs w:val="28"/>
    </w:rPr>
  </w:style>
  <w:style w:type="character" w:customStyle="1" w:styleId="Heading3Char">
    <w:name w:val="Heading 3 Char"/>
    <w:basedOn w:val="DefaultParagraphFont"/>
    <w:link w:val="Heading3"/>
    <w:uiPriority w:val="9"/>
    <w:rsid w:val="003D4105"/>
    <w:rPr>
      <w:rFonts w:ascii="Arial Narrow" w:hAnsi="Arial Narrow" w:cs="Times New Roman"/>
      <w:b/>
      <w:bCs/>
      <w:color w:val="17365D"/>
      <w:szCs w:val="26"/>
    </w:rPr>
  </w:style>
  <w:style w:type="character" w:customStyle="1" w:styleId="Heading4Char">
    <w:name w:val="Heading 4 Char"/>
    <w:basedOn w:val="DefaultParagraphFont"/>
    <w:link w:val="Heading4"/>
    <w:uiPriority w:val="9"/>
    <w:rsid w:val="003D4105"/>
    <w:rPr>
      <w:rFonts w:ascii="Arial Narrow" w:hAnsi="Arial Narrow" w:cs="Times New Roman"/>
      <w:b/>
      <w:bCs/>
      <w:szCs w:val="28"/>
    </w:rPr>
  </w:style>
  <w:style w:type="paragraph" w:customStyle="1" w:styleId="List-BulletsBOLD">
    <w:name w:val="List - Bullets BOLD"/>
    <w:basedOn w:val="ListParagraph"/>
    <w:next w:val="ListBullet"/>
    <w:qFormat/>
    <w:rsid w:val="003D4105"/>
    <w:pPr>
      <w:numPr>
        <w:numId w:val="1"/>
      </w:numPr>
      <w:tabs>
        <w:tab w:val="num" w:pos="360"/>
      </w:tabs>
      <w:ind w:firstLine="0"/>
      <w:contextualSpacing w:val="0"/>
    </w:pPr>
    <w:rPr>
      <w:b/>
      <w:lang w:val="en"/>
    </w:rPr>
  </w:style>
  <w:style w:type="paragraph" w:customStyle="1" w:styleId="List-Bullets">
    <w:name w:val="List - Bullets"/>
    <w:basedOn w:val="List-BulletsBOLD"/>
    <w:qFormat/>
    <w:rsid w:val="003D4105"/>
    <w:pPr>
      <w:tabs>
        <w:tab w:val="clear" w:pos="360"/>
      </w:tabs>
      <w:ind w:hanging="360"/>
    </w:pPr>
    <w:rPr>
      <w:b w:val="0"/>
    </w:rPr>
  </w:style>
  <w:style w:type="paragraph" w:styleId="Title">
    <w:name w:val="Title"/>
    <w:aliases w:val="Name"/>
    <w:basedOn w:val="Normal"/>
    <w:next w:val="Normal"/>
    <w:link w:val="TitleChar"/>
    <w:uiPriority w:val="10"/>
    <w:qFormat/>
    <w:rsid w:val="003D4105"/>
    <w:pPr>
      <w:spacing w:before="240" w:after="240" w:line="420" w:lineRule="exact"/>
      <w:jc w:val="center"/>
      <w:outlineLvl w:val="0"/>
    </w:pPr>
    <w:rPr>
      <w:rFonts w:eastAsia="Times New Roman"/>
      <w:b/>
      <w:bCs/>
      <w:color w:val="F79646"/>
      <w:spacing w:val="2"/>
      <w:kern w:val="28"/>
      <w:sz w:val="52"/>
      <w:szCs w:val="32"/>
    </w:rPr>
  </w:style>
  <w:style w:type="character" w:customStyle="1" w:styleId="TitleChar">
    <w:name w:val="Title Char"/>
    <w:aliases w:val="Name Char"/>
    <w:basedOn w:val="DefaultParagraphFont"/>
    <w:link w:val="Title"/>
    <w:uiPriority w:val="10"/>
    <w:rsid w:val="003D4105"/>
    <w:rPr>
      <w:rFonts w:ascii="Arial Narrow" w:hAnsi="Arial Narrow" w:cs="Times New Roman"/>
      <w:b/>
      <w:bCs/>
      <w:color w:val="F79646"/>
      <w:spacing w:val="2"/>
      <w:kern w:val="28"/>
      <w:sz w:val="52"/>
      <w:szCs w:val="32"/>
    </w:rPr>
  </w:style>
  <w:style w:type="character" w:styleId="Strong">
    <w:name w:val="Strong"/>
    <w:qFormat/>
    <w:rsid w:val="003D4105"/>
    <w:rPr>
      <w:rFonts w:ascii="Arial" w:hAnsi="Arial"/>
      <w:b/>
      <w:bCs/>
      <w:sz w:val="22"/>
    </w:rPr>
  </w:style>
  <w:style w:type="paragraph" w:customStyle="1" w:styleId="largenumber">
    <w:name w:val="large number"/>
    <w:basedOn w:val="Normal"/>
    <w:link w:val="largenumberChar"/>
    <w:qFormat/>
    <w:rsid w:val="003D4105"/>
    <w:pPr>
      <w:spacing w:before="120" w:after="0"/>
    </w:pPr>
    <w:rPr>
      <w:b/>
      <w:sz w:val="32"/>
    </w:rPr>
  </w:style>
  <w:style w:type="character" w:customStyle="1" w:styleId="largenumberChar">
    <w:name w:val="large number Char"/>
    <w:link w:val="largenumber"/>
    <w:rsid w:val="003D4105"/>
    <w:rPr>
      <w:rFonts w:ascii="Arial Narrow" w:eastAsia="Calibri" w:hAnsi="Arial Narrow" w:cs="Times New Roman"/>
      <w:b/>
      <w:sz w:val="32"/>
    </w:rPr>
  </w:style>
  <w:style w:type="paragraph" w:styleId="ListParagraph">
    <w:name w:val="List Paragraph"/>
    <w:basedOn w:val="Normal"/>
    <w:uiPriority w:val="34"/>
    <w:qFormat/>
    <w:rsid w:val="003D4105"/>
    <w:pPr>
      <w:ind w:left="720"/>
      <w:contextualSpacing/>
    </w:pPr>
  </w:style>
  <w:style w:type="paragraph" w:styleId="ListBullet">
    <w:name w:val="List Bullet"/>
    <w:basedOn w:val="Normal"/>
    <w:uiPriority w:val="99"/>
    <w:semiHidden/>
    <w:unhideWhenUsed/>
    <w:rsid w:val="003D4105"/>
    <w:pPr>
      <w:ind w:left="720" w:hanging="360"/>
      <w:contextualSpacing/>
    </w:pPr>
  </w:style>
  <w:style w:type="character" w:customStyle="1" w:styleId="Heading1Char">
    <w:name w:val="Heading 1 Char"/>
    <w:basedOn w:val="DefaultParagraphFont"/>
    <w:link w:val="Heading1"/>
    <w:uiPriority w:val="9"/>
    <w:rsid w:val="00F9556F"/>
    <w:rPr>
      <w:rFonts w:asciiTheme="majorHAnsi" w:eastAsiaTheme="majorEastAsia" w:hAnsiTheme="majorHAnsi" w:cstheme="majorBidi"/>
      <w:color w:val="00264C" w:themeColor="accent1" w:themeShade="BF"/>
      <w:sz w:val="32"/>
      <w:szCs w:val="32"/>
    </w:rPr>
  </w:style>
  <w:style w:type="character" w:styleId="CommentReference">
    <w:name w:val="annotation reference"/>
    <w:uiPriority w:val="99"/>
    <w:semiHidden/>
    <w:unhideWhenUsed/>
    <w:rsid w:val="00F9556F"/>
    <w:rPr>
      <w:sz w:val="16"/>
      <w:szCs w:val="16"/>
    </w:rPr>
  </w:style>
  <w:style w:type="paragraph" w:styleId="CommentText">
    <w:name w:val="annotation text"/>
    <w:basedOn w:val="Normal"/>
    <w:link w:val="CommentTextChar"/>
    <w:uiPriority w:val="99"/>
    <w:semiHidden/>
    <w:unhideWhenUsed/>
    <w:rsid w:val="00F9556F"/>
    <w:rPr>
      <w:sz w:val="20"/>
      <w:szCs w:val="20"/>
    </w:rPr>
  </w:style>
  <w:style w:type="character" w:customStyle="1" w:styleId="CommentTextChar">
    <w:name w:val="Comment Text Char"/>
    <w:basedOn w:val="DefaultParagraphFont"/>
    <w:link w:val="CommentText"/>
    <w:uiPriority w:val="99"/>
    <w:semiHidden/>
    <w:rsid w:val="00F9556F"/>
    <w:rPr>
      <w:rFonts w:ascii="Arial Narrow" w:eastAsia="Calibri" w:hAnsi="Arial Narrow" w:cs="Times New Roman"/>
      <w:sz w:val="20"/>
      <w:szCs w:val="20"/>
    </w:rPr>
  </w:style>
  <w:style w:type="paragraph" w:customStyle="1" w:styleId="disclaimer">
    <w:name w:val="disclaimer"/>
    <w:basedOn w:val="Normal"/>
    <w:qFormat/>
    <w:rsid w:val="00F9556F"/>
    <w:pPr>
      <w:spacing w:after="0" w:line="240" w:lineRule="auto"/>
    </w:pPr>
    <w:rPr>
      <w:rFonts w:eastAsia="Times New Roman"/>
      <w:sz w:val="18"/>
      <w:szCs w:val="18"/>
    </w:rPr>
  </w:style>
  <w:style w:type="paragraph" w:styleId="BalloonText">
    <w:name w:val="Balloon Text"/>
    <w:basedOn w:val="Normal"/>
    <w:link w:val="BalloonTextChar"/>
    <w:uiPriority w:val="99"/>
    <w:semiHidden/>
    <w:unhideWhenUsed/>
    <w:rsid w:val="00F95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56F"/>
    <w:rPr>
      <w:rFonts w:ascii="Segoe UI" w:eastAsia="Calibri" w:hAnsi="Segoe UI" w:cs="Segoe UI"/>
      <w:sz w:val="18"/>
      <w:szCs w:val="18"/>
    </w:rPr>
  </w:style>
  <w:style w:type="paragraph" w:customStyle="1" w:styleId="Time">
    <w:name w:val="Time"/>
    <w:basedOn w:val="Heading3"/>
    <w:link w:val="TimeChar"/>
    <w:qFormat/>
    <w:rsid w:val="002A450E"/>
    <w:pPr>
      <w:spacing w:before="0" w:after="0" w:line="240" w:lineRule="auto"/>
      <w:jc w:val="right"/>
    </w:pPr>
    <w:rPr>
      <w:sz w:val="28"/>
    </w:rPr>
  </w:style>
  <w:style w:type="paragraph" w:customStyle="1" w:styleId="Tablesubtitle">
    <w:name w:val="Table_subtitle"/>
    <w:basedOn w:val="Normal"/>
    <w:link w:val="TablesubtitleChar"/>
    <w:qFormat/>
    <w:rsid w:val="002A450E"/>
    <w:pPr>
      <w:spacing w:after="60" w:line="240" w:lineRule="auto"/>
    </w:pPr>
    <w:rPr>
      <w:rFonts w:ascii="Arial" w:hAnsi="Arial" w:cs="Arial"/>
      <w:b/>
      <w:color w:val="729800" w:themeColor="accent2" w:themeShade="BF"/>
      <w:sz w:val="32"/>
    </w:rPr>
  </w:style>
  <w:style w:type="character" w:customStyle="1" w:styleId="TimeChar">
    <w:name w:val="Time Char"/>
    <w:basedOn w:val="Heading3Char"/>
    <w:link w:val="Time"/>
    <w:rsid w:val="002A450E"/>
    <w:rPr>
      <w:rFonts w:ascii="Arial Narrow" w:hAnsi="Arial Narrow" w:cs="Times New Roman"/>
      <w:b/>
      <w:bCs/>
      <w:color w:val="17365D"/>
      <w:sz w:val="28"/>
      <w:szCs w:val="26"/>
    </w:rPr>
  </w:style>
  <w:style w:type="character" w:styleId="SubtleEmphasis">
    <w:name w:val="Subtle Emphasis"/>
    <w:basedOn w:val="DefaultParagraphFont"/>
    <w:uiPriority w:val="19"/>
    <w:qFormat/>
    <w:rsid w:val="002A450E"/>
    <w:rPr>
      <w:rFonts w:ascii="Arial" w:hAnsi="Arial"/>
      <w:b/>
      <w:i w:val="0"/>
      <w:iCs/>
      <w:color w:val="00B0F0" w:themeColor="accent3"/>
    </w:rPr>
  </w:style>
  <w:style w:type="character" w:customStyle="1" w:styleId="TablesubtitleChar">
    <w:name w:val="Table_subtitle Char"/>
    <w:basedOn w:val="DefaultParagraphFont"/>
    <w:link w:val="Tablesubtitle"/>
    <w:rsid w:val="002A450E"/>
    <w:rPr>
      <w:rFonts w:ascii="Arial" w:eastAsia="Calibri" w:hAnsi="Arial" w:cs="Arial"/>
      <w:b/>
      <w:color w:val="729800" w:themeColor="accent2" w:themeShade="BF"/>
      <w:sz w:val="32"/>
    </w:rPr>
  </w:style>
  <w:style w:type="table" w:styleId="TableGrid">
    <w:name w:val="Table Grid"/>
    <w:basedOn w:val="TableNormal"/>
    <w:uiPriority w:val="59"/>
    <w:rsid w:val="002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DLayout">
    <w:name w:val="JD Layout"/>
    <w:uiPriority w:val="1"/>
    <w:rsid w:val="002322E3"/>
    <w:rPr>
      <w:rFonts w:ascii="Arial" w:hAnsi="Arial"/>
    </w:rPr>
  </w:style>
  <w:style w:type="paragraph" w:styleId="CommentSubject">
    <w:name w:val="annotation subject"/>
    <w:basedOn w:val="CommentText"/>
    <w:next w:val="CommentText"/>
    <w:link w:val="CommentSubjectChar"/>
    <w:uiPriority w:val="99"/>
    <w:semiHidden/>
    <w:unhideWhenUsed/>
    <w:rsid w:val="00731B4F"/>
    <w:pPr>
      <w:spacing w:line="240" w:lineRule="auto"/>
    </w:pPr>
    <w:rPr>
      <w:b/>
      <w:bCs/>
    </w:rPr>
  </w:style>
  <w:style w:type="character" w:customStyle="1" w:styleId="CommentSubjectChar">
    <w:name w:val="Comment Subject Char"/>
    <w:basedOn w:val="CommentTextChar"/>
    <w:link w:val="CommentSubject"/>
    <w:uiPriority w:val="99"/>
    <w:semiHidden/>
    <w:rsid w:val="00731B4F"/>
    <w:rPr>
      <w:rFonts w:ascii="Arial Narrow" w:eastAsia="Calibri" w:hAnsi="Arial Narrow" w:cs="Times New Roman"/>
      <w:b/>
      <w:bCs/>
      <w:sz w:val="20"/>
      <w:szCs w:val="20"/>
    </w:rPr>
  </w:style>
  <w:style w:type="character" w:customStyle="1" w:styleId="unorderedlistChar">
    <w:name w:val="unordered list Char"/>
    <w:basedOn w:val="DefaultParagraphFont"/>
    <w:link w:val="unorderedlist"/>
    <w:locked/>
    <w:rsid w:val="002D0E57"/>
    <w:rPr>
      <w:rFonts w:ascii="Arial Narrow" w:hAnsi="Arial Narrow"/>
    </w:rPr>
  </w:style>
  <w:style w:type="paragraph" w:customStyle="1" w:styleId="unorderedlist">
    <w:name w:val="unordered list"/>
    <w:basedOn w:val="Normal"/>
    <w:link w:val="unorderedlistChar"/>
    <w:rsid w:val="002D0E57"/>
    <w:pPr>
      <w:numPr>
        <w:numId w:val="2"/>
      </w:numPr>
      <w:spacing w:line="240" w:lineRule="auto"/>
    </w:pPr>
    <w:rPr>
      <w:rFonts w:eastAsia="Times New Roman" w:cstheme="minorBidi"/>
    </w:rPr>
  </w:style>
  <w:style w:type="paragraph" w:styleId="BodyTextIndent">
    <w:name w:val="Body Text Indent"/>
    <w:basedOn w:val="Normal"/>
    <w:link w:val="BodyTextIndentChar"/>
    <w:uiPriority w:val="99"/>
    <w:semiHidden/>
    <w:unhideWhenUsed/>
    <w:rsid w:val="001255E5"/>
    <w:pPr>
      <w:ind w:left="360"/>
    </w:pPr>
  </w:style>
  <w:style w:type="character" w:customStyle="1" w:styleId="BodyTextIndentChar">
    <w:name w:val="Body Text Indent Char"/>
    <w:basedOn w:val="DefaultParagraphFont"/>
    <w:link w:val="BodyTextIndent"/>
    <w:uiPriority w:val="99"/>
    <w:semiHidden/>
    <w:rsid w:val="001255E5"/>
    <w:rPr>
      <w:rFonts w:ascii="Arial Narrow" w:eastAsia="Calibri" w:hAnsi="Arial Narrow" w:cs="Times New Roman"/>
    </w:rPr>
  </w:style>
  <w:style w:type="character" w:styleId="Emphasis">
    <w:name w:val="Emphasis"/>
    <w:basedOn w:val="DefaultParagraphFont"/>
    <w:uiPriority w:val="20"/>
    <w:qFormat/>
    <w:rsid w:val="001B45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9089">
      <w:bodyDiv w:val="1"/>
      <w:marLeft w:val="0"/>
      <w:marRight w:val="0"/>
      <w:marTop w:val="0"/>
      <w:marBottom w:val="0"/>
      <w:divBdr>
        <w:top w:val="none" w:sz="0" w:space="0" w:color="auto"/>
        <w:left w:val="none" w:sz="0" w:space="0" w:color="auto"/>
        <w:bottom w:val="none" w:sz="0" w:space="0" w:color="auto"/>
        <w:right w:val="none" w:sz="0" w:space="0" w:color="auto"/>
      </w:divBdr>
    </w:div>
    <w:div w:id="646857924">
      <w:bodyDiv w:val="1"/>
      <w:marLeft w:val="0"/>
      <w:marRight w:val="0"/>
      <w:marTop w:val="0"/>
      <w:marBottom w:val="0"/>
      <w:divBdr>
        <w:top w:val="none" w:sz="0" w:space="0" w:color="auto"/>
        <w:left w:val="none" w:sz="0" w:space="0" w:color="auto"/>
        <w:bottom w:val="none" w:sz="0" w:space="0" w:color="auto"/>
        <w:right w:val="none" w:sz="0" w:space="0" w:color="auto"/>
      </w:divBdr>
    </w:div>
    <w:div w:id="767233487">
      <w:bodyDiv w:val="1"/>
      <w:marLeft w:val="0"/>
      <w:marRight w:val="0"/>
      <w:marTop w:val="0"/>
      <w:marBottom w:val="0"/>
      <w:divBdr>
        <w:top w:val="none" w:sz="0" w:space="0" w:color="auto"/>
        <w:left w:val="none" w:sz="0" w:space="0" w:color="auto"/>
        <w:bottom w:val="none" w:sz="0" w:space="0" w:color="auto"/>
        <w:right w:val="none" w:sz="0" w:space="0" w:color="auto"/>
      </w:divBdr>
    </w:div>
    <w:div w:id="1297833511">
      <w:bodyDiv w:val="1"/>
      <w:marLeft w:val="0"/>
      <w:marRight w:val="0"/>
      <w:marTop w:val="0"/>
      <w:marBottom w:val="0"/>
      <w:divBdr>
        <w:top w:val="none" w:sz="0" w:space="0" w:color="auto"/>
        <w:left w:val="none" w:sz="0" w:space="0" w:color="auto"/>
        <w:bottom w:val="none" w:sz="0" w:space="0" w:color="auto"/>
        <w:right w:val="none" w:sz="0" w:space="0" w:color="auto"/>
      </w:divBdr>
    </w:div>
    <w:div w:id="133191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Anders, David</dc:creator>
  <cp:keywords>
  </cp:keywords>
  <cp:lastModifiedBy>Greening, Michele, H</cp:lastModifiedBy>
  <cp:revision>2</cp:revision>
  <cp:lastPrinted>2022-05-10T23:35:00Z</cp:lastPrinted>
  <dcterms:created xsi:type="dcterms:W3CDTF">2022-10-21T19:06:00Z</dcterms:created>
  <dcterms:modified xsi:type="dcterms:W3CDTF">2022-10-21T19:06:00Z</dcterms:modified>
</cp:coreProperties>
</file>