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December 05</w:t>
      </w:r>
      <w:r w:rsidR="003407ED">
        <w:t>, 2023</w:t>
      </w:r>
    </w:p>
    <w:p w:rsidR="00721E6E" w:rsidP="00721E6E">
      <w:pPr>
        <w:pStyle w:val="MeetingDetails"/>
      </w:pPr>
      <w:r>
        <w:t>1</w:t>
      </w:r>
      <w:r w:rsidR="000C6AD4">
        <w:t>0:15 a.m. – 3</w:t>
      </w:r>
      <w:r>
        <w:t xml:space="preserve">:00 p.m. EPT </w:t>
      </w:r>
    </w:p>
    <w:p w:rsidR="00B62597" w:rsidRPr="00B62597" w:rsidP="00B7790E">
      <w:pPr>
        <w:spacing w:after="0" w:line="240" w:lineRule="auto"/>
        <w:rPr>
          <w:rFonts w:ascii="Arial Narrow" w:eastAsia="Times New Roman" w:hAnsi="Arial Narrow" w:cs="Times New Roman"/>
          <w:sz w:val="24"/>
          <w:szCs w:val="20"/>
        </w:rPr>
      </w:pP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BD40D5">
        <w:t>0</w:t>
      </w:r>
      <w:r w:rsidR="002F15F4">
        <w:t>:</w:t>
      </w:r>
      <w:r w:rsidR="000C6AD4">
        <w:t>15</w:t>
      </w:r>
      <w:r w:rsidRPr="00527104">
        <w:t>-</w:t>
      </w:r>
      <w:r w:rsidR="000C6AD4">
        <w:t>10:20</w:t>
      </w:r>
      <w:r w:rsidRPr="00527104">
        <w:t>)</w:t>
      </w:r>
    </w:p>
    <w:bookmarkEnd w:id="0"/>
    <w:bookmarkEnd w:id="1"/>
    <w:p w:rsidR="00E2594B" w:rsidP="004F5109">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w:t>
      </w:r>
      <w:r w:rsidR="00D268BA">
        <w:t>1</w:t>
      </w:r>
      <w:r w:rsidR="000C6AD4">
        <w:t>0:20-3</w:t>
      </w:r>
      <w:r>
        <w:t>:00)</w:t>
      </w:r>
    </w:p>
    <w:p w:rsidR="000C6AD4" w:rsidRPr="00B47C80" w:rsidP="000C6AD4">
      <w:pPr>
        <w:pStyle w:val="ListSubhead1"/>
        <w:numPr>
          <w:ilvl w:val="0"/>
          <w:numId w:val="14"/>
        </w:numPr>
        <w:spacing w:after="120"/>
        <w:rPr>
          <w:b w:val="0"/>
        </w:rPr>
      </w:pPr>
      <w:r>
        <w:t>NJ BPU Prebuild Infrastructure Solicitation</w:t>
      </w:r>
      <w:r>
        <w:t xml:space="preserve"> Presentation</w:t>
      </w:r>
    </w:p>
    <w:p w:rsidR="000C6AD4" w:rsidRPr="000C6AD4" w:rsidP="000C6AD4">
      <w:pPr>
        <w:pStyle w:val="SecondaryHeading-Numbered"/>
        <w:numPr>
          <w:ilvl w:val="0"/>
          <w:numId w:val="0"/>
        </w:numPr>
        <w:spacing w:after="120"/>
        <w:ind w:left="360"/>
        <w:rPr>
          <w:b w:val="0"/>
        </w:rPr>
      </w:pPr>
      <w:r>
        <w:rPr>
          <w:b w:val="0"/>
        </w:rPr>
        <w:t xml:space="preserve">NJBPU will provide a presentation regarding </w:t>
      </w:r>
      <w:r w:rsidRPr="00112575" w:rsidR="00112575">
        <w:rPr>
          <w:b w:val="0"/>
        </w:rPr>
        <w:t>Prebuild Infrastructure</w:t>
      </w:r>
      <w:r>
        <w:rPr>
          <w:b w:val="0"/>
        </w:rPr>
        <w:t>.</w:t>
      </w:r>
    </w:p>
    <w:p w:rsidR="005C709B" w:rsidRPr="00B47C80" w:rsidP="005C709B">
      <w:pPr>
        <w:pStyle w:val="ListSubhead1"/>
        <w:numPr>
          <w:ilvl w:val="0"/>
          <w:numId w:val="14"/>
        </w:numPr>
        <w:spacing w:after="120"/>
        <w:rPr>
          <w:b w:val="0"/>
        </w:rPr>
      </w:pPr>
      <w:r>
        <w:t>Interregional Planning Update</w:t>
      </w:r>
    </w:p>
    <w:p w:rsidR="005C709B" w:rsidP="005C709B">
      <w:pPr>
        <w:pStyle w:val="SecondaryHeading-Numbered"/>
        <w:numPr>
          <w:ilvl w:val="0"/>
          <w:numId w:val="0"/>
        </w:numPr>
        <w:spacing w:after="120"/>
        <w:ind w:left="360"/>
        <w:rPr>
          <w:b w:val="0"/>
        </w:rPr>
      </w:pPr>
      <w:r>
        <w:rPr>
          <w:b w:val="0"/>
        </w:rPr>
        <w:t>Jeffrey Goldberg</w:t>
      </w:r>
      <w:r w:rsidR="00F91F0F">
        <w:rPr>
          <w:b w:val="0"/>
        </w:rPr>
        <w:t>, PJM</w:t>
      </w:r>
      <w:r w:rsidR="003407ED">
        <w:rPr>
          <w:b w:val="0"/>
        </w:rPr>
        <w:t>, will provide an up</w:t>
      </w:r>
      <w:r w:rsidR="00D325DE">
        <w:rPr>
          <w:b w:val="0"/>
        </w:rPr>
        <w:t xml:space="preserve">date on </w:t>
      </w:r>
      <w:r>
        <w:rPr>
          <w:b w:val="0"/>
        </w:rPr>
        <w:t>Interregional Planning</w:t>
      </w:r>
      <w:r>
        <w:rPr>
          <w:b w:val="0"/>
        </w:rPr>
        <w:t>.</w:t>
      </w:r>
    </w:p>
    <w:p w:rsidR="00BD40D5" w:rsidRPr="00B47C80" w:rsidP="00BD40D5">
      <w:pPr>
        <w:pStyle w:val="ListSubhead1"/>
        <w:numPr>
          <w:ilvl w:val="0"/>
          <w:numId w:val="14"/>
        </w:numPr>
        <w:spacing w:after="120"/>
        <w:rPr>
          <w:b w:val="0"/>
        </w:rPr>
      </w:pPr>
      <w:r>
        <w:t>Generation Deactivation Notification Update</w:t>
      </w:r>
    </w:p>
    <w:p w:rsidR="00BD40D5" w:rsidP="00BD40D5">
      <w:pPr>
        <w:pStyle w:val="SecondaryHeading-Numbered"/>
        <w:numPr>
          <w:ilvl w:val="0"/>
          <w:numId w:val="0"/>
        </w:numPr>
        <w:spacing w:after="120"/>
        <w:ind w:left="360"/>
        <w:rPr>
          <w:b w:val="0"/>
        </w:rPr>
      </w:pPr>
      <w:r>
        <w:rPr>
          <w:b w:val="0"/>
        </w:rPr>
        <w:t xml:space="preserve">Perry NG, PJM will provide an update on </w:t>
      </w:r>
      <w:r w:rsidRPr="00BD40D5">
        <w:rPr>
          <w:b w:val="0"/>
        </w:rPr>
        <w:t>Generation Deactivation</w:t>
      </w:r>
      <w:r>
        <w:rPr>
          <w:b w:val="0"/>
        </w:rPr>
        <w:t>.</w:t>
      </w:r>
    </w:p>
    <w:p w:rsidR="002F15F4" w:rsidRPr="00B47C80" w:rsidP="002F15F4">
      <w:pPr>
        <w:pStyle w:val="ListSubhead1"/>
        <w:numPr>
          <w:ilvl w:val="0"/>
          <w:numId w:val="14"/>
        </w:numPr>
        <w:spacing w:after="120"/>
        <w:rPr>
          <w:b w:val="0"/>
        </w:rPr>
      </w:pPr>
      <w:r>
        <w:t>Market Efficiency Update</w:t>
      </w:r>
    </w:p>
    <w:p w:rsidR="002F15F4" w:rsidP="002F15F4">
      <w:pPr>
        <w:pStyle w:val="SecondaryHeading-Numbered"/>
        <w:numPr>
          <w:ilvl w:val="0"/>
          <w:numId w:val="0"/>
        </w:numPr>
        <w:spacing w:after="120"/>
        <w:ind w:left="360"/>
        <w:rPr>
          <w:b w:val="0"/>
        </w:rPr>
      </w:pPr>
      <w:r>
        <w:rPr>
          <w:b w:val="0"/>
        </w:rPr>
        <w:t>Nicolae Dumitriu, PJM will provide an update on Market Efficiency.</w:t>
      </w:r>
    </w:p>
    <w:p w:rsidR="002F15F4" w:rsidRPr="00B7790E" w:rsidP="002F15F4">
      <w:pPr>
        <w:pStyle w:val="SecondaryHeading-Numbered"/>
        <w:spacing w:after="120"/>
        <w:rPr>
          <w:b w:val="0"/>
        </w:rPr>
      </w:pPr>
      <w:r>
        <w:t>APS</w:t>
      </w:r>
      <w:r>
        <w:t xml:space="preserve"> Supplemental Projects</w:t>
      </w:r>
    </w:p>
    <w:p w:rsidR="002F15F4" w:rsidP="002F15F4">
      <w:pPr>
        <w:pStyle w:val="SecondaryHeading-Numbered"/>
        <w:numPr>
          <w:ilvl w:val="0"/>
          <w:numId w:val="0"/>
        </w:numPr>
        <w:spacing w:after="120"/>
        <w:ind w:left="360"/>
        <w:rPr>
          <w:b w:val="0"/>
        </w:rPr>
      </w:pPr>
      <w:r>
        <w:rPr>
          <w:b w:val="0"/>
        </w:rPr>
        <w:t>APS</w:t>
      </w:r>
      <w:r>
        <w:rPr>
          <w:b w:val="0"/>
        </w:rPr>
        <w:t xml:space="preserve"> Planning will provide an update on supplemental projects.</w:t>
      </w:r>
    </w:p>
    <w:p w:rsidR="002F15F4" w:rsidRPr="00B7790E" w:rsidP="002F15F4">
      <w:pPr>
        <w:pStyle w:val="SecondaryHeading-Numbered"/>
        <w:spacing w:after="120"/>
        <w:rPr>
          <w:b w:val="0"/>
        </w:rPr>
      </w:pPr>
      <w:r>
        <w:t>JCPL</w:t>
      </w:r>
      <w:r>
        <w:t xml:space="preserve"> Supplemental Projects</w:t>
      </w:r>
    </w:p>
    <w:p w:rsidR="002F15F4" w:rsidP="002F15F4">
      <w:pPr>
        <w:pStyle w:val="SecondaryHeading-Numbered"/>
        <w:numPr>
          <w:ilvl w:val="0"/>
          <w:numId w:val="0"/>
        </w:numPr>
        <w:spacing w:after="120"/>
        <w:ind w:left="360"/>
        <w:rPr>
          <w:b w:val="0"/>
        </w:rPr>
      </w:pPr>
      <w:r>
        <w:rPr>
          <w:b w:val="0"/>
        </w:rPr>
        <w:t>JCPL</w:t>
      </w:r>
      <w:r>
        <w:rPr>
          <w:b w:val="0"/>
        </w:rPr>
        <w:t xml:space="preserve"> Planning will provide an update on supplemental projects.</w:t>
      </w:r>
    </w:p>
    <w:p w:rsidR="002F15F4" w:rsidRPr="00B7790E" w:rsidP="002F15F4">
      <w:pPr>
        <w:pStyle w:val="SecondaryHeading-Numbered"/>
        <w:spacing w:after="120"/>
        <w:rPr>
          <w:b w:val="0"/>
        </w:rPr>
      </w:pPr>
      <w:r>
        <w:t>MetEd</w:t>
      </w:r>
      <w:r>
        <w:t xml:space="preserve"> </w:t>
      </w:r>
      <w:r>
        <w:t>Supplemental Projects</w:t>
      </w:r>
    </w:p>
    <w:p w:rsidR="002F15F4" w:rsidP="002F15F4">
      <w:pPr>
        <w:pStyle w:val="SecondaryHeading-Numbered"/>
        <w:numPr>
          <w:ilvl w:val="0"/>
          <w:numId w:val="0"/>
        </w:numPr>
        <w:spacing w:after="120"/>
        <w:ind w:left="360"/>
        <w:rPr>
          <w:b w:val="0"/>
        </w:rPr>
      </w:pPr>
      <w:r>
        <w:rPr>
          <w:b w:val="0"/>
        </w:rPr>
        <w:t>MetEd</w:t>
      </w:r>
      <w:r>
        <w:rPr>
          <w:b w:val="0"/>
        </w:rPr>
        <w:t xml:space="preserve"> </w:t>
      </w:r>
      <w:r>
        <w:rPr>
          <w:b w:val="0"/>
        </w:rPr>
        <w:t>Planning will provide an update on supplemental projects.</w:t>
      </w:r>
    </w:p>
    <w:p w:rsidR="000C6AD4" w:rsidRPr="00B47C80" w:rsidP="000C6AD4">
      <w:pPr>
        <w:pStyle w:val="ListSubhead1"/>
        <w:numPr>
          <w:ilvl w:val="0"/>
          <w:numId w:val="14"/>
        </w:numPr>
        <w:spacing w:after="120"/>
        <w:rPr>
          <w:b w:val="0"/>
        </w:rPr>
      </w:pPr>
      <w:r>
        <w:t>Penelec</w:t>
      </w:r>
      <w:r>
        <w:t xml:space="preserve"> Supplemental Projects</w:t>
      </w:r>
    </w:p>
    <w:p w:rsidR="000C6AD4" w:rsidP="000C6AD4">
      <w:pPr>
        <w:pStyle w:val="SecondaryHeading-Numbered"/>
        <w:numPr>
          <w:ilvl w:val="0"/>
          <w:numId w:val="0"/>
        </w:numPr>
        <w:spacing w:after="120"/>
        <w:ind w:left="360"/>
        <w:rPr>
          <w:b w:val="0"/>
        </w:rPr>
      </w:pPr>
      <w:r>
        <w:rPr>
          <w:b w:val="0"/>
        </w:rPr>
        <w:t>Penelec</w:t>
      </w:r>
      <w:r>
        <w:rPr>
          <w:b w:val="0"/>
        </w:rPr>
        <w:t xml:space="preserve"> Planning, will provide an update on supplemental projects.</w:t>
      </w:r>
    </w:p>
    <w:p w:rsidR="002F15F4" w:rsidRPr="00B7790E" w:rsidP="002F15F4">
      <w:pPr>
        <w:pStyle w:val="SecondaryHeading-Numbered"/>
        <w:spacing w:after="120"/>
        <w:rPr>
          <w:b w:val="0"/>
        </w:rPr>
      </w:pPr>
      <w:r>
        <w:t>ComEd</w:t>
      </w:r>
      <w:r>
        <w:t xml:space="preserve"> Supplemental Projects</w:t>
      </w:r>
    </w:p>
    <w:p w:rsidR="002F15F4" w:rsidP="002F15F4">
      <w:pPr>
        <w:pStyle w:val="SecondaryHeading-Numbered"/>
        <w:numPr>
          <w:ilvl w:val="0"/>
          <w:numId w:val="0"/>
        </w:numPr>
        <w:spacing w:after="120"/>
        <w:ind w:left="360"/>
        <w:rPr>
          <w:b w:val="0"/>
        </w:rPr>
      </w:pPr>
      <w:r>
        <w:rPr>
          <w:b w:val="0"/>
        </w:rPr>
        <w:t xml:space="preserve">ComEd </w:t>
      </w:r>
      <w:r>
        <w:rPr>
          <w:b w:val="0"/>
        </w:rPr>
        <w:t>Planning will provide an update on supplemental projects.</w:t>
      </w:r>
    </w:p>
    <w:p w:rsidR="00912725" w:rsidRPr="00B7790E" w:rsidP="00912725">
      <w:pPr>
        <w:pStyle w:val="SecondaryHeading-Numbered"/>
        <w:spacing w:after="120"/>
        <w:rPr>
          <w:b w:val="0"/>
        </w:rPr>
      </w:pPr>
      <w:r>
        <w:t>PEPCO Supplemental Projects</w:t>
      </w:r>
    </w:p>
    <w:p w:rsidR="00912725" w:rsidP="001A3402">
      <w:pPr>
        <w:pStyle w:val="SecondaryHeading-Numbered"/>
        <w:numPr>
          <w:ilvl w:val="0"/>
          <w:numId w:val="0"/>
        </w:numPr>
        <w:spacing w:after="120"/>
        <w:ind w:left="360"/>
        <w:rPr>
          <w:b w:val="0"/>
        </w:rPr>
      </w:pPr>
      <w:r>
        <w:rPr>
          <w:b w:val="0"/>
        </w:rPr>
        <w:t>Exelon Planning will provide an update on supplemental projects.</w:t>
      </w:r>
    </w:p>
    <w:p w:rsidR="007C4B13" w:rsidRPr="00B7790E" w:rsidP="007C4B13">
      <w:pPr>
        <w:pStyle w:val="SecondaryHeading-Numbered"/>
        <w:spacing w:after="120"/>
        <w:rPr>
          <w:b w:val="0"/>
        </w:rPr>
      </w:pPr>
      <w:r>
        <w:t>PSEG</w:t>
      </w:r>
      <w:r>
        <w:t xml:space="preserve"> Supplemental Projects</w:t>
      </w:r>
    </w:p>
    <w:p w:rsidR="007C4B13" w:rsidP="007C4B13">
      <w:pPr>
        <w:pStyle w:val="SecondaryHeading-Numbered"/>
        <w:numPr>
          <w:ilvl w:val="0"/>
          <w:numId w:val="0"/>
        </w:numPr>
        <w:spacing w:after="120"/>
        <w:ind w:left="360"/>
        <w:rPr>
          <w:b w:val="0"/>
        </w:rPr>
      </w:pPr>
      <w:r>
        <w:rPr>
          <w:b w:val="0"/>
        </w:rPr>
        <w:t>PSEG</w:t>
      </w:r>
      <w:r>
        <w:rPr>
          <w:b w:val="0"/>
        </w:rPr>
        <w:t xml:space="preserve"> Planning will provide an update on supplemental projects</w:t>
      </w:r>
      <w:r>
        <w:rPr>
          <w:b w:val="0"/>
        </w:rPr>
        <w:t>.</w:t>
      </w:r>
    </w:p>
    <w:p w:rsidR="00BD40D5" w:rsidRPr="00B7790E" w:rsidP="00BD40D5">
      <w:pPr>
        <w:pStyle w:val="SecondaryHeading-Numbered"/>
        <w:spacing w:after="120"/>
        <w:rPr>
          <w:b w:val="0"/>
        </w:rPr>
      </w:pPr>
      <w:r>
        <w:t>Dominion</w:t>
      </w:r>
      <w:r>
        <w:t xml:space="preserve"> Supplemental Projects</w:t>
      </w:r>
    </w:p>
    <w:p w:rsidR="00BD40D5" w:rsidP="00BD40D5">
      <w:pPr>
        <w:pStyle w:val="SecondaryHeading-Numbered"/>
        <w:numPr>
          <w:ilvl w:val="0"/>
          <w:numId w:val="0"/>
        </w:numPr>
        <w:spacing w:after="120"/>
        <w:ind w:left="360"/>
        <w:rPr>
          <w:b w:val="0"/>
        </w:rPr>
      </w:pPr>
      <w:r>
        <w:rPr>
          <w:b w:val="0"/>
        </w:rPr>
        <w:t>Dominion</w:t>
      </w:r>
      <w:r>
        <w:rPr>
          <w:b w:val="0"/>
        </w:rPr>
        <w:t xml:space="preserve"> Planning will provide an update on supplemental projects</w:t>
      </w:r>
    </w:p>
    <w:p w:rsidR="00BD40D5" w:rsidRPr="00B7790E" w:rsidP="00BD40D5">
      <w:pPr>
        <w:pStyle w:val="SecondaryHeading-Numbered"/>
        <w:spacing w:after="120"/>
        <w:rPr>
          <w:b w:val="0"/>
        </w:rPr>
      </w:pPr>
      <w:r>
        <w:t>AEP Supplemental Projects</w:t>
      </w:r>
    </w:p>
    <w:p w:rsidR="00BD40D5" w:rsidP="00BD40D5">
      <w:pPr>
        <w:pStyle w:val="SecondaryHeading-Numbered"/>
        <w:numPr>
          <w:ilvl w:val="0"/>
          <w:numId w:val="0"/>
        </w:numPr>
        <w:spacing w:after="120"/>
        <w:ind w:left="360"/>
        <w:rPr>
          <w:b w:val="0"/>
        </w:rPr>
      </w:pPr>
      <w:r>
        <w:rPr>
          <w:b w:val="0"/>
        </w:rPr>
        <w:t>AEP Planning will provide an update on supplemental projects</w:t>
      </w:r>
    </w:p>
    <w:p w:rsidR="007B32CA" w:rsidRPr="00B7790E" w:rsidP="007B32CA">
      <w:pPr>
        <w:pStyle w:val="SecondaryHeading-Numbered"/>
        <w:spacing w:after="120"/>
        <w:rPr>
          <w:b w:val="0"/>
        </w:rPr>
      </w:pPr>
      <w:r>
        <w:t>Reliability Analysis</w:t>
      </w:r>
      <w:r w:rsidR="001A3402">
        <w:t xml:space="preserve"> – 2023 Window 1 </w:t>
      </w:r>
    </w:p>
    <w:p w:rsidR="007B32CA" w:rsidP="007B32CA">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EB7527" w:rsidRPr="00B7790E" w:rsidP="00EB7527">
      <w:pPr>
        <w:pStyle w:val="SecondaryHeading-Numbered"/>
        <w:spacing w:after="120"/>
        <w:rPr>
          <w:b w:val="0"/>
        </w:rPr>
      </w:pPr>
      <w:r>
        <w:t xml:space="preserve">Reliability Analysis – 2022 Window 3 </w:t>
      </w:r>
    </w:p>
    <w:p w:rsidR="00EB7527" w:rsidP="00EB7527">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provide an update on Reliability Analysis.</w:t>
      </w:r>
    </w:p>
    <w:p w:rsidR="00EB7527" w:rsidP="007B32CA">
      <w:pPr>
        <w:pStyle w:val="SecondaryHeading-Numbered"/>
        <w:numPr>
          <w:ilvl w:val="0"/>
          <w:numId w:val="0"/>
        </w:numPr>
        <w:spacing w:after="120"/>
        <w:ind w:left="360"/>
        <w:rPr>
          <w:b w:val="0"/>
        </w:rPr>
      </w:pPr>
    </w:p>
    <w:p w:rsidR="00112575" w:rsidP="00112575">
      <w:pPr>
        <w:pStyle w:val="SecondaryHeading-Numbered"/>
        <w:numPr>
          <w:ilvl w:val="0"/>
          <w:numId w:val="0"/>
        </w:numPr>
        <w:spacing w:after="120"/>
        <w:ind w:left="360"/>
        <w:rPr>
          <w:b w:val="0"/>
        </w:rPr>
      </w:pPr>
      <w:r w:rsidRPr="00C414B1">
        <w:rPr>
          <w:highlight w:val="yellow"/>
        </w:rPr>
        <w:t>Note:</w:t>
      </w:r>
      <w:r w:rsidRPr="00C414B1">
        <w:rPr>
          <w:b w:val="0"/>
          <w:highlight w:val="yellow"/>
        </w:rPr>
        <w:t xml:space="preserve">  PJM will break for Holiday Lunch from 11:30 AM until 12:30 PM.  Agenda Items 14 and 15 will commence immediately after lunch at 12:30 PM.  If agenda items through 13 are not completed prior to 11:30, PJM will commence with remaining agenda items once agenda items 14 and 15 are completed.</w:t>
      </w:r>
      <w:r w:rsidRPr="00692944" w:rsidR="00692944">
        <w:rPr>
          <w:color w:val="1F497D"/>
        </w:rPr>
        <w:t xml:space="preserve"> </w:t>
      </w:r>
      <w:r w:rsidRPr="00692944" w:rsidR="00692944">
        <w:rPr>
          <w:b w:val="0"/>
          <w:highlight w:val="yellow"/>
        </w:rPr>
        <w:t>PJM looks forward to hearing comments from all stakeholders on the final proposed solutions.  To ensure we hear from all who wish to comment w</w:t>
      </w:r>
      <w:bookmarkStart w:id="2" w:name="_GoBack"/>
      <w:bookmarkEnd w:id="2"/>
      <w:r w:rsidRPr="00692944" w:rsidR="00692944">
        <w:rPr>
          <w:b w:val="0"/>
          <w:highlight w:val="yellow"/>
        </w:rPr>
        <w:t>hile conducting an efficient meeting, PJM will put time limitation on verbal comments as needed.  Comments and questions may also be submitted to</w:t>
      </w:r>
      <w:r w:rsidR="00692944">
        <w:rPr>
          <w:color w:val="1F497D"/>
        </w:rPr>
        <w:t xml:space="preserve"> </w:t>
      </w:r>
      <w:hyperlink r:id="rId5" w:history="1">
        <w:r w:rsidR="00692944">
          <w:rPr>
            <w:rStyle w:val="Hyperlink"/>
          </w:rPr>
          <w:t>custsvc@pjm.com</w:t>
        </w:r>
      </w:hyperlink>
    </w:p>
    <w:p w:rsidR="00112575" w:rsidP="007B32CA">
      <w:pPr>
        <w:pStyle w:val="SecondaryHeading-Numbered"/>
        <w:numPr>
          <w:ilvl w:val="0"/>
          <w:numId w:val="0"/>
        </w:numPr>
        <w:spacing w:after="120"/>
        <w:ind w:left="360"/>
        <w:rPr>
          <w:b w:val="0"/>
        </w:rPr>
      </w:pP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BD40D5" w:rsidP="001A3402">
      <w:pPr>
        <w:pStyle w:val="ListSubhead1"/>
        <w:widowControl w:val="0"/>
        <w:numPr>
          <w:ilvl w:val="0"/>
          <w:numId w:val="0"/>
        </w:numPr>
        <w:spacing w:after="120"/>
        <w:ind w:left="720" w:hanging="360"/>
        <w:rPr>
          <w:b w:val="0"/>
        </w:rPr>
      </w:pPr>
      <w:r>
        <w:rPr>
          <w:b w:val="0"/>
        </w:rPr>
        <w:t>Open questions regarding M-3 projects received through Planning Community.</w:t>
      </w:r>
    </w:p>
    <w:p w:rsidR="001367B1" w:rsidRPr="00B41C07" w:rsidP="001367B1">
      <w:pPr>
        <w:pStyle w:val="ListSubhead1"/>
        <w:widowControl w:val="0"/>
        <w:numPr>
          <w:ilvl w:val="0"/>
          <w:numId w:val="0"/>
        </w:numPr>
        <w:spacing w:after="120"/>
        <w:ind w:left="72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EF34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F34C4">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1A3402" w:rsidRPr="00BB6921" w:rsidP="00EF34C4">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pPr>
              <w:pStyle w:val="DisclaimerHeading"/>
              <w:keepLines/>
              <w:jc w:val="center"/>
              <w:rPr>
                <w:color w:val="FFFFFF" w:themeColor="background1"/>
                <w:sz w:val="19"/>
                <w:szCs w:val="19"/>
              </w:rPr>
            </w:pPr>
          </w:p>
        </w:tc>
      </w:tr>
      <w:tr w:rsidTr="00EF34C4">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1A3402" w:rsidRPr="00BB6921" w:rsidP="00EF34C4">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1A3402" w:rsidRPr="00C10A93" w:rsidP="00EF34C4">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1A3402" w:rsidRPr="00C10A93" w:rsidP="00EF34C4">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1A3402" w:rsidRPr="00CE451E" w:rsidP="00EF34C4">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F34C4">
        <w:tblPrEx>
          <w:tblW w:w="0" w:type="auto"/>
          <w:tblLook w:val="04A0"/>
        </w:tblPrEx>
        <w:trPr>
          <w:trHeight w:val="331"/>
        </w:trPr>
        <w:tc>
          <w:tcPr>
            <w:tcW w:w="1201" w:type="dxa"/>
            <w:tcBorders>
              <w:top w:val="none" w:sz="0" w:space="0" w:color="auto"/>
              <w:bottom w:val="single" w:sz="4" w:space="0" w:color="auto"/>
              <w:right w:val="single" w:sz="4" w:space="0" w:color="auto"/>
            </w:tcBorders>
            <w:shd w:val="clear" w:color="auto" w:fill="E1F6FF"/>
          </w:tcPr>
          <w:p w:rsidR="001A3402" w:rsidRPr="00BB6921" w:rsidP="00EF34C4">
            <w:pPr>
              <w:pStyle w:val="DisclaimerHeading"/>
              <w:keepLines/>
              <w:spacing w:before="40" w:after="40" w:line="220" w:lineRule="exact"/>
              <w:jc w:val="left"/>
              <w:rPr>
                <w:b w:val="0"/>
                <w:i w:val="0"/>
                <w:color w:val="auto"/>
                <w:sz w:val="18"/>
                <w:szCs w:val="18"/>
              </w:rPr>
            </w:pPr>
          </w:p>
        </w:tc>
        <w:tc>
          <w:tcPr>
            <w:tcW w:w="983" w:type="dxa"/>
            <w:tcBorders>
              <w:left w:val="single" w:sz="4" w:space="0" w:color="auto"/>
              <w:bottom w:val="single" w:sz="4" w:space="0" w:color="auto"/>
              <w:right w:val="single" w:sz="4" w:space="0" w:color="auto"/>
            </w:tcBorders>
          </w:tcPr>
          <w:p w:rsidR="001A3402" w:rsidRPr="00C10A93" w:rsidP="00EF34C4">
            <w:pPr>
              <w:pStyle w:val="DisclaimerHeading"/>
              <w:keepLines/>
              <w:spacing w:before="40" w:after="40" w:line="220" w:lineRule="exact"/>
              <w:rPr>
                <w:b w:val="0"/>
                <w:color w:val="auto"/>
                <w:sz w:val="18"/>
                <w:szCs w:val="18"/>
              </w:rPr>
            </w:pPr>
          </w:p>
        </w:tc>
        <w:tc>
          <w:tcPr>
            <w:tcW w:w="3756" w:type="dxa"/>
            <w:tcBorders>
              <w:left w:val="single" w:sz="4" w:space="0" w:color="auto"/>
              <w:bottom w:val="single" w:sz="4" w:space="0" w:color="auto"/>
              <w:right w:val="single" w:sz="4" w:space="0" w:color="auto"/>
            </w:tcBorders>
          </w:tcPr>
          <w:p w:rsidR="001A3402" w:rsidRPr="00EB7527" w:rsidP="00EF34C4">
            <w:pPr>
              <w:pStyle w:val="AttendeesList"/>
              <w:keepLines/>
              <w:spacing w:before="40" w:after="40" w:line="220" w:lineRule="exact"/>
              <w:rPr>
                <w:i/>
                <w:szCs w:val="18"/>
              </w:rPr>
            </w:pPr>
            <w:r>
              <w:rPr>
                <w:i/>
                <w:szCs w:val="18"/>
              </w:rPr>
              <w:t xml:space="preserve">Finalizing Calendar – As of 11/30 </w:t>
            </w:r>
          </w:p>
        </w:tc>
        <w:tc>
          <w:tcPr>
            <w:tcW w:w="1816" w:type="dxa"/>
            <w:tcBorders>
              <w:left w:val="single" w:sz="4" w:space="0" w:color="auto"/>
              <w:bottom w:val="single" w:sz="4" w:space="0" w:color="auto"/>
              <w:right w:val="single" w:sz="4" w:space="0" w:color="auto"/>
            </w:tcBorders>
          </w:tcPr>
          <w:p w:rsidR="001A3402" w:rsidRPr="00C10A93" w:rsidP="00EF34C4">
            <w:pPr>
              <w:pStyle w:val="DisclaimerHeading"/>
              <w:keepLines/>
              <w:spacing w:before="40" w:after="40" w:line="220" w:lineRule="exact"/>
              <w:jc w:val="center"/>
              <w:rPr>
                <w:b w:val="0"/>
                <w:color w:val="auto"/>
                <w:sz w:val="18"/>
                <w:szCs w:val="18"/>
              </w:rPr>
            </w:pPr>
          </w:p>
        </w:tc>
        <w:tc>
          <w:tcPr>
            <w:tcW w:w="1529" w:type="dxa"/>
            <w:tcBorders>
              <w:left w:val="single" w:sz="4" w:space="0" w:color="auto"/>
              <w:bottom w:val="single" w:sz="4" w:space="0" w:color="auto"/>
              <w:right w:val="single" w:sz="4" w:space="0" w:color="auto"/>
            </w:tcBorders>
          </w:tcPr>
          <w:p w:rsidR="001A3402" w:rsidRPr="00C10A93" w:rsidP="00EF34C4">
            <w:pPr>
              <w:pStyle w:val="DisclaimerHeading"/>
              <w:keepLines/>
              <w:spacing w:before="40" w:after="40" w:line="220" w:lineRule="exact"/>
              <w:jc w:val="center"/>
              <w:rPr>
                <w:b w:val="0"/>
                <w:color w:val="auto"/>
                <w:sz w:val="18"/>
                <w:szCs w:val="18"/>
              </w:rPr>
            </w:pPr>
          </w:p>
        </w:tc>
      </w:tr>
      <w:tr w:rsidTr="00EF34C4">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A3402" w:rsidRPr="00BB6921" w:rsidP="00EF34C4">
            <w:pPr>
              <w:pStyle w:val="DisclaimerHeading"/>
              <w:keepLines/>
              <w:spacing w:before="40" w:after="40" w:line="220" w:lineRule="exact"/>
              <w:jc w:val="left"/>
              <w:rPr>
                <w:b w:val="0"/>
                <w:i w:val="0"/>
                <w:color w:val="auto"/>
                <w:sz w:val="18"/>
                <w:szCs w:val="18"/>
              </w:rPr>
            </w:pPr>
          </w:p>
        </w:tc>
        <w:tc>
          <w:tcPr>
            <w:tcW w:w="983" w:type="dxa"/>
            <w:tcBorders>
              <w:top w:val="single" w:sz="4" w:space="0" w:color="auto"/>
              <w:left w:val="single" w:sz="4" w:space="0" w:color="auto"/>
              <w:bottom w:val="single" w:sz="4" w:space="0" w:color="auto"/>
              <w:right w:val="single" w:sz="4" w:space="0" w:color="auto"/>
            </w:tcBorders>
          </w:tcPr>
          <w:p w:rsidR="001A3402" w:rsidRPr="00C10A93" w:rsidP="00EF34C4">
            <w:pPr>
              <w:pStyle w:val="DisclaimerHeading"/>
              <w:keepLines/>
              <w:spacing w:before="40" w:after="40" w:line="220" w:lineRule="exact"/>
              <w:rPr>
                <w:b w:val="0"/>
                <w:color w:val="auto"/>
                <w:sz w:val="18"/>
                <w:szCs w:val="18"/>
              </w:rPr>
            </w:pPr>
          </w:p>
        </w:tc>
        <w:tc>
          <w:tcPr>
            <w:tcW w:w="3756" w:type="dxa"/>
            <w:tcBorders>
              <w:top w:val="single" w:sz="4" w:space="0" w:color="auto"/>
              <w:left w:val="single" w:sz="4" w:space="0" w:color="auto"/>
              <w:bottom w:val="single" w:sz="4" w:space="0" w:color="auto"/>
              <w:right w:val="single" w:sz="4" w:space="0" w:color="auto"/>
            </w:tcBorders>
          </w:tcPr>
          <w:p w:rsidR="001A3402" w:rsidRPr="00C10A93" w:rsidP="00EF34C4">
            <w:pPr>
              <w:pStyle w:val="DisclaimerHeading"/>
              <w:keepLines/>
              <w:spacing w:before="40" w:after="40" w:line="220" w:lineRule="exact"/>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1A3402" w:rsidRPr="00C10A93" w:rsidP="00EF34C4">
            <w:pPr>
              <w:pStyle w:val="DisclaimerHeading"/>
              <w:keepLines/>
              <w:spacing w:before="40" w:after="40" w:line="220" w:lineRule="exact"/>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1A3402" w:rsidRPr="00C10A93" w:rsidP="00EF34C4">
            <w:pPr>
              <w:pStyle w:val="DisclaimerHeading"/>
              <w:keepLines/>
              <w:spacing w:before="40" w:after="40" w:line="220" w:lineRule="exact"/>
              <w:rPr>
                <w:b w:val="0"/>
                <w:color w:val="auto"/>
                <w:sz w:val="18"/>
                <w:szCs w:val="18"/>
              </w:rPr>
            </w:pPr>
          </w:p>
        </w:tc>
      </w:tr>
      <w:tr w:rsidTr="00EF34C4">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A3402" w:rsidRPr="00BB6921" w:rsidP="00EF34C4">
            <w:pPr>
              <w:pStyle w:val="DisclaimerHeading"/>
              <w:keepLines/>
              <w:spacing w:before="40" w:after="40" w:line="220" w:lineRule="exact"/>
              <w:jc w:val="left"/>
              <w:rPr>
                <w:b w:val="0"/>
                <w:i w:val="0"/>
                <w:color w:val="auto"/>
                <w:sz w:val="18"/>
                <w:szCs w:val="18"/>
              </w:rPr>
            </w:pPr>
          </w:p>
        </w:tc>
        <w:tc>
          <w:tcPr>
            <w:tcW w:w="983" w:type="dxa"/>
            <w:tcBorders>
              <w:top w:val="single" w:sz="4" w:space="0" w:color="auto"/>
              <w:left w:val="single" w:sz="4" w:space="0" w:color="auto"/>
              <w:bottom w:val="single" w:sz="4" w:space="0" w:color="auto"/>
              <w:right w:val="single" w:sz="4" w:space="0" w:color="auto"/>
            </w:tcBorders>
          </w:tcPr>
          <w:p w:rsidR="001A3402" w:rsidRPr="00C10A93" w:rsidP="00EF34C4">
            <w:pPr>
              <w:pStyle w:val="DisclaimerHeading"/>
              <w:keepLines/>
              <w:spacing w:before="40" w:after="40" w:line="220" w:lineRule="exact"/>
              <w:rPr>
                <w:b w:val="0"/>
                <w:color w:val="auto"/>
                <w:sz w:val="18"/>
                <w:szCs w:val="18"/>
              </w:rPr>
            </w:pPr>
          </w:p>
        </w:tc>
        <w:tc>
          <w:tcPr>
            <w:tcW w:w="3756" w:type="dxa"/>
            <w:tcBorders>
              <w:top w:val="single" w:sz="4" w:space="0" w:color="auto"/>
              <w:left w:val="single" w:sz="4" w:space="0" w:color="auto"/>
              <w:bottom w:val="single" w:sz="4" w:space="0" w:color="auto"/>
              <w:right w:val="single" w:sz="4" w:space="0" w:color="auto"/>
            </w:tcBorders>
          </w:tcPr>
          <w:p w:rsidR="001A3402" w:rsidRPr="00C10A93" w:rsidP="00EF34C4">
            <w:pPr>
              <w:pStyle w:val="DisclaimerHeading"/>
              <w:keepLines/>
              <w:spacing w:before="40" w:after="40" w:line="220" w:lineRule="exact"/>
              <w:rPr>
                <w:b w:val="0"/>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1A3402" w:rsidRPr="00C10A93" w:rsidP="00EF34C4">
            <w:pPr>
              <w:pStyle w:val="DisclaimerHeading"/>
              <w:keepLines/>
              <w:spacing w:before="40" w:after="40" w:line="220" w:lineRule="exact"/>
              <w:rPr>
                <w:b w:val="0"/>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1A3402" w:rsidRPr="00C10A93" w:rsidP="00EF34C4">
            <w:pPr>
              <w:pStyle w:val="DisclaimerHeading"/>
              <w:keepLines/>
              <w:spacing w:before="40" w:after="40" w:line="220" w:lineRule="exact"/>
              <w:rPr>
                <w:b w:val="0"/>
                <w:color w:val="auto"/>
                <w:sz w:val="18"/>
                <w:szCs w:val="18"/>
              </w:rPr>
            </w:pPr>
          </w:p>
        </w:tc>
      </w:tr>
      <w:tr w:rsidTr="00EF34C4">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A3402" w:rsidRPr="0055010D" w:rsidP="00EF34C4">
            <w:pPr>
              <w:pStyle w:val="DisclaimerHeading"/>
              <w:keepLines/>
              <w:spacing w:before="40" w:after="40" w:line="220" w:lineRule="exact"/>
              <w:jc w:val="left"/>
              <w:rPr>
                <w:color w:val="auto"/>
                <w:sz w:val="18"/>
                <w:szCs w:val="18"/>
              </w:rPr>
            </w:pPr>
          </w:p>
        </w:tc>
        <w:tc>
          <w:tcPr>
            <w:tcW w:w="983" w:type="dxa"/>
            <w:tcBorders>
              <w:top w:val="single" w:sz="4" w:space="0" w:color="auto"/>
              <w:left w:val="single" w:sz="4" w:space="0" w:color="auto"/>
              <w:bottom w:val="single" w:sz="4" w:space="0" w:color="auto"/>
              <w:right w:val="single" w:sz="4" w:space="0" w:color="auto"/>
            </w:tcBorders>
          </w:tcPr>
          <w:p w:rsidR="001A3402" w:rsidRPr="00C10A93" w:rsidP="00EF34C4">
            <w:pPr>
              <w:pStyle w:val="DisclaimerHeading"/>
              <w:keepLines/>
              <w:spacing w:before="40" w:after="40" w:line="220" w:lineRule="exact"/>
              <w:rPr>
                <w:color w:val="auto"/>
                <w:sz w:val="18"/>
                <w:szCs w:val="18"/>
              </w:rPr>
            </w:pPr>
          </w:p>
        </w:tc>
        <w:tc>
          <w:tcPr>
            <w:tcW w:w="3756" w:type="dxa"/>
            <w:tcBorders>
              <w:top w:val="single" w:sz="4" w:space="0" w:color="auto"/>
              <w:left w:val="single" w:sz="4" w:space="0" w:color="auto"/>
              <w:bottom w:val="single" w:sz="4" w:space="0" w:color="auto"/>
              <w:right w:val="single" w:sz="4" w:space="0" w:color="auto"/>
            </w:tcBorders>
          </w:tcPr>
          <w:p w:rsidR="001A3402" w:rsidRPr="00C10A93" w:rsidP="00EF34C4">
            <w:pPr>
              <w:pStyle w:val="DisclaimerHeading"/>
              <w:keepLines/>
              <w:spacing w:before="40" w:after="40" w:line="220" w:lineRule="exact"/>
              <w:rPr>
                <w:color w:val="auto"/>
                <w:sz w:val="18"/>
                <w:szCs w:val="18"/>
              </w:rPr>
            </w:pPr>
          </w:p>
        </w:tc>
        <w:tc>
          <w:tcPr>
            <w:tcW w:w="1816" w:type="dxa"/>
            <w:tcBorders>
              <w:top w:val="single" w:sz="4" w:space="0" w:color="auto"/>
              <w:left w:val="single" w:sz="4" w:space="0" w:color="auto"/>
              <w:bottom w:val="single" w:sz="4" w:space="0" w:color="auto"/>
              <w:right w:val="single" w:sz="4" w:space="0" w:color="auto"/>
            </w:tcBorders>
          </w:tcPr>
          <w:p w:rsidR="001A3402" w:rsidRPr="00C10A93" w:rsidP="00EF34C4">
            <w:pPr>
              <w:pStyle w:val="DisclaimerHeading"/>
              <w:keepLines/>
              <w:spacing w:before="40" w:after="40" w:line="220" w:lineRule="exact"/>
              <w:rPr>
                <w:color w:val="auto"/>
                <w:sz w:val="18"/>
                <w:szCs w:val="18"/>
              </w:rPr>
            </w:pPr>
          </w:p>
        </w:tc>
        <w:tc>
          <w:tcPr>
            <w:tcW w:w="1529" w:type="dxa"/>
            <w:tcBorders>
              <w:top w:val="single" w:sz="4" w:space="0" w:color="auto"/>
              <w:left w:val="single" w:sz="4" w:space="0" w:color="auto"/>
              <w:bottom w:val="single" w:sz="4" w:space="0" w:color="auto"/>
              <w:right w:val="single" w:sz="4" w:space="0" w:color="auto"/>
            </w:tcBorders>
          </w:tcPr>
          <w:p w:rsidR="001A3402" w:rsidRPr="00C10A93" w:rsidP="00EF34C4">
            <w:pPr>
              <w:pStyle w:val="DisclaimerHeading"/>
              <w:keepLines/>
              <w:spacing w:before="40" w:after="40" w:line="220" w:lineRule="exact"/>
              <w:rPr>
                <w:color w:val="auto"/>
                <w:sz w:val="18"/>
                <w:szCs w:val="18"/>
              </w:rPr>
            </w:pPr>
          </w:p>
        </w:tc>
      </w:tr>
      <w:tr w:rsidTr="00EF34C4">
        <w:tblPrEx>
          <w:tblW w:w="0" w:type="auto"/>
          <w:tblLook w:val="04A0"/>
        </w:tblPrEx>
        <w:trPr>
          <w:trHeight w:val="331"/>
        </w:trPr>
        <w:tc>
          <w:tcPr>
            <w:tcW w:w="1201" w:type="dxa"/>
            <w:tcBorders>
              <w:top w:val="single" w:sz="4" w:space="0" w:color="auto"/>
              <w:right w:val="single" w:sz="4" w:space="0" w:color="auto"/>
            </w:tcBorders>
            <w:shd w:val="clear" w:color="auto" w:fill="E1F6FF"/>
          </w:tcPr>
          <w:p w:rsidR="001A3402" w:rsidRPr="0055010D" w:rsidP="00EF34C4">
            <w:pPr>
              <w:pStyle w:val="DisclaimerHeading"/>
              <w:keepLines/>
              <w:spacing w:before="40" w:after="40" w:line="220" w:lineRule="exact"/>
              <w:jc w:val="left"/>
              <w:rPr>
                <w:color w:val="auto"/>
                <w:sz w:val="18"/>
                <w:szCs w:val="18"/>
              </w:rPr>
            </w:pPr>
          </w:p>
        </w:tc>
        <w:tc>
          <w:tcPr>
            <w:tcW w:w="983" w:type="dxa"/>
            <w:tcBorders>
              <w:top w:val="single" w:sz="4" w:space="0" w:color="auto"/>
              <w:left w:val="single" w:sz="4" w:space="0" w:color="auto"/>
              <w:right w:val="single" w:sz="4" w:space="0" w:color="auto"/>
            </w:tcBorders>
          </w:tcPr>
          <w:p w:rsidR="001A3402" w:rsidRPr="00C10A93" w:rsidP="00EF34C4">
            <w:pPr>
              <w:pStyle w:val="DisclaimerHeading"/>
              <w:keepLines/>
              <w:spacing w:before="40" w:after="40" w:line="220" w:lineRule="exact"/>
              <w:rPr>
                <w:color w:val="auto"/>
                <w:sz w:val="18"/>
                <w:szCs w:val="18"/>
              </w:rPr>
            </w:pPr>
          </w:p>
        </w:tc>
        <w:tc>
          <w:tcPr>
            <w:tcW w:w="3756" w:type="dxa"/>
            <w:tcBorders>
              <w:top w:val="single" w:sz="4" w:space="0" w:color="auto"/>
              <w:left w:val="single" w:sz="4" w:space="0" w:color="auto"/>
              <w:right w:val="single" w:sz="4" w:space="0" w:color="auto"/>
            </w:tcBorders>
          </w:tcPr>
          <w:p w:rsidR="001A3402" w:rsidRPr="00C10A93" w:rsidP="00EF34C4">
            <w:pPr>
              <w:pStyle w:val="DisclaimerHeading"/>
              <w:keepLines/>
              <w:spacing w:before="40" w:after="40" w:line="220" w:lineRule="exact"/>
              <w:rPr>
                <w:color w:val="auto"/>
                <w:sz w:val="18"/>
                <w:szCs w:val="18"/>
              </w:rPr>
            </w:pPr>
          </w:p>
        </w:tc>
        <w:tc>
          <w:tcPr>
            <w:tcW w:w="1816" w:type="dxa"/>
            <w:tcBorders>
              <w:top w:val="single" w:sz="4" w:space="0" w:color="auto"/>
              <w:left w:val="single" w:sz="4" w:space="0" w:color="auto"/>
              <w:right w:val="single" w:sz="4" w:space="0" w:color="auto"/>
            </w:tcBorders>
          </w:tcPr>
          <w:p w:rsidR="001A3402" w:rsidRPr="00C10A93" w:rsidP="00EF34C4">
            <w:pPr>
              <w:pStyle w:val="DisclaimerHeading"/>
              <w:keepLines/>
              <w:spacing w:before="40" w:after="40" w:line="220" w:lineRule="exact"/>
              <w:rPr>
                <w:color w:val="auto"/>
                <w:sz w:val="18"/>
                <w:szCs w:val="18"/>
              </w:rPr>
            </w:pPr>
          </w:p>
        </w:tc>
        <w:tc>
          <w:tcPr>
            <w:tcW w:w="1529" w:type="dxa"/>
            <w:tcBorders>
              <w:top w:val="single" w:sz="4" w:space="0" w:color="auto"/>
              <w:left w:val="single" w:sz="4" w:space="0" w:color="auto"/>
              <w:right w:val="single" w:sz="4" w:space="0" w:color="auto"/>
            </w:tcBorders>
          </w:tcPr>
          <w:p w:rsidR="001A3402" w:rsidRPr="00C10A93" w:rsidP="00EF34C4">
            <w:pPr>
              <w:pStyle w:val="DisclaimerHeading"/>
              <w:keepLines/>
              <w:spacing w:before="40" w:after="40" w:line="220" w:lineRule="exact"/>
              <w:rPr>
                <w:color w:val="auto"/>
                <w:sz w:val="18"/>
                <w:szCs w:val="18"/>
              </w:rPr>
            </w:pPr>
          </w:p>
        </w:tc>
      </w:tr>
    </w:tbl>
    <w:p w:rsidR="001A3402" w:rsidP="001A3402">
      <w:pPr>
        <w:pStyle w:val="DisclaimerBodyCopy"/>
        <w:keepLines/>
        <w:spacing w:before="60"/>
        <w:jc w:val="right"/>
      </w:pPr>
      <w:r>
        <w:rPr>
          <w:color w:val="1F497D"/>
        </w:rPr>
        <w:t>*Materials received after 12:00 p.m. EPT are not guaranteed timely posting by 5:00 p.m. EPT on the same day.</w:t>
      </w:r>
    </w:p>
    <w:p w:rsidR="00E82FEB" w:rsidP="00E82FEB">
      <w:pPr>
        <w:pStyle w:val="DisclaimerBodyCopy"/>
      </w:pPr>
    </w:p>
    <w:p w:rsidR="001A3402" w:rsidP="00E82FEB">
      <w:pPr>
        <w:pStyle w:val="DisclaimerBodyCopy"/>
      </w:pPr>
    </w:p>
    <w:p w:rsidR="001A3402" w:rsidP="00E82FEB">
      <w:pPr>
        <w:pStyle w:val="DisclaimerBodyCopy"/>
      </w:pPr>
    </w:p>
    <w:p w:rsidR="001A3402" w:rsidP="00E82FEB">
      <w:pPr>
        <w:pStyle w:val="DisclaimerBodyCopy"/>
      </w:pPr>
    </w:p>
    <w:p w:rsidR="0082016B" w:rsidP="00E82FEB">
      <w:pPr>
        <w:pStyle w:val="DisclaimerBodyCopy"/>
      </w:pPr>
    </w:p>
    <w:p w:rsidR="00112575"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1A3402" w:rsidRPr="00B62597" w:rsidP="001A3402">
      <w:pPr>
        <w:pStyle w:val="DisclaimerHeading"/>
      </w:pPr>
      <w:r>
        <w:t>Anti</w:t>
      </w:r>
      <w:r w:rsidRPr="00B62597">
        <w:t>trust:</w:t>
      </w:r>
    </w:p>
    <w:p w:rsidR="001A3402" w:rsidRPr="00B62597" w:rsidP="001A340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1A3402" w:rsidRPr="00B62597" w:rsidP="001A3402">
      <w:pPr>
        <w:pStyle w:val="DisclaimerHeading"/>
        <w:spacing w:before="240"/>
      </w:pPr>
      <w:r w:rsidRPr="00B62597">
        <w:t>Code of Conduct:</w:t>
      </w:r>
    </w:p>
    <w:p w:rsidR="001A3402" w:rsidRPr="00B62597" w:rsidP="001A3402">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1A3402" w:rsidRPr="00B62597" w:rsidP="001A3402">
      <w:pPr>
        <w:pStyle w:val="DisclaimerHeading"/>
        <w:spacing w:before="240"/>
      </w:pPr>
      <w:r w:rsidRPr="00B62597">
        <w:t xml:space="preserve">Public Meetings/Media Participation: </w:t>
      </w:r>
    </w:p>
    <w:p w:rsidR="001A3402" w:rsidP="001A340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3402" w:rsidP="001A3402">
      <w:pPr>
        <w:pStyle w:val="DisclaimerHeading"/>
        <w:spacing w:before="240"/>
      </w:pPr>
      <w:r>
        <w:t>Participant Identification in WebEx:</w:t>
      </w:r>
    </w:p>
    <w:p w:rsidR="001A3402" w:rsidP="001A3402">
      <w:pPr>
        <w:pStyle w:val="DisclaimerBodyCopy"/>
      </w:pPr>
      <w:r>
        <w:t>When logging into the WebEx desktop client, please enter your real first and last name as well as a valid email address. Be sure to select the “call me” option.</w:t>
      </w:r>
    </w:p>
    <w:p w:rsidR="001A3402" w:rsidP="001A3402">
      <w:pPr>
        <w:pStyle w:val="DisclaimerBodyCopy"/>
      </w:pPr>
      <w:r>
        <w:t>PJM support staff continuously monitors WebEx connections during stakeholder meetings. Anonymous users or those using false usernames or emails will be dropped from the teleconference.</w:t>
      </w: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2944">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407ED">
      <w:rPr>
        <w:rFonts w:ascii="Arial Narrow" w:hAnsi="Arial Narrow"/>
        <w:sz w:val="20"/>
      </w:rPr>
      <w:t>3</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112575">
      <w:t>November 30th</w:t>
    </w:r>
    <w:r w:rsidR="003407ED">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232DF"/>
    <w:rsid w:val="00027F49"/>
    <w:rsid w:val="000333FF"/>
    <w:rsid w:val="00056DC6"/>
    <w:rsid w:val="00062230"/>
    <w:rsid w:val="0006798D"/>
    <w:rsid w:val="00092135"/>
    <w:rsid w:val="00097C36"/>
    <w:rsid w:val="000B2C4D"/>
    <w:rsid w:val="000B5CD5"/>
    <w:rsid w:val="000C6AD4"/>
    <w:rsid w:val="000E6350"/>
    <w:rsid w:val="000E6606"/>
    <w:rsid w:val="00112575"/>
    <w:rsid w:val="00117AF9"/>
    <w:rsid w:val="00121F58"/>
    <w:rsid w:val="001367B1"/>
    <w:rsid w:val="00154434"/>
    <w:rsid w:val="001548F3"/>
    <w:rsid w:val="001678E8"/>
    <w:rsid w:val="00186224"/>
    <w:rsid w:val="001A1276"/>
    <w:rsid w:val="001A3402"/>
    <w:rsid w:val="001B2242"/>
    <w:rsid w:val="001C0CC0"/>
    <w:rsid w:val="001C3955"/>
    <w:rsid w:val="001C6C19"/>
    <w:rsid w:val="001D3B68"/>
    <w:rsid w:val="001D5C25"/>
    <w:rsid w:val="001F20BE"/>
    <w:rsid w:val="001F5C18"/>
    <w:rsid w:val="00210F66"/>
    <w:rsid w:val="002113BD"/>
    <w:rsid w:val="002166F1"/>
    <w:rsid w:val="00231331"/>
    <w:rsid w:val="00231D3D"/>
    <w:rsid w:val="0025139E"/>
    <w:rsid w:val="002537BC"/>
    <w:rsid w:val="0025411C"/>
    <w:rsid w:val="002555EE"/>
    <w:rsid w:val="00262069"/>
    <w:rsid w:val="00277BA9"/>
    <w:rsid w:val="00285C36"/>
    <w:rsid w:val="00293080"/>
    <w:rsid w:val="002A004B"/>
    <w:rsid w:val="002A029D"/>
    <w:rsid w:val="002A1F41"/>
    <w:rsid w:val="002A5560"/>
    <w:rsid w:val="002B2F98"/>
    <w:rsid w:val="002B63A3"/>
    <w:rsid w:val="002C2533"/>
    <w:rsid w:val="002C5E0A"/>
    <w:rsid w:val="002C6057"/>
    <w:rsid w:val="002D5A0E"/>
    <w:rsid w:val="002E718E"/>
    <w:rsid w:val="002F15F4"/>
    <w:rsid w:val="002F56F2"/>
    <w:rsid w:val="00305238"/>
    <w:rsid w:val="00321EDC"/>
    <w:rsid w:val="00321FF5"/>
    <w:rsid w:val="003251CE"/>
    <w:rsid w:val="00337321"/>
    <w:rsid w:val="003407ED"/>
    <w:rsid w:val="003604D4"/>
    <w:rsid w:val="00370599"/>
    <w:rsid w:val="00373C65"/>
    <w:rsid w:val="0037497F"/>
    <w:rsid w:val="00390F43"/>
    <w:rsid w:val="00394850"/>
    <w:rsid w:val="003B55E1"/>
    <w:rsid w:val="003C17E2"/>
    <w:rsid w:val="003C3320"/>
    <w:rsid w:val="003C5D2C"/>
    <w:rsid w:val="003D4A17"/>
    <w:rsid w:val="003D7E5C"/>
    <w:rsid w:val="003E0D0D"/>
    <w:rsid w:val="003E46C4"/>
    <w:rsid w:val="003E7A73"/>
    <w:rsid w:val="004003B8"/>
    <w:rsid w:val="00427629"/>
    <w:rsid w:val="0046043F"/>
    <w:rsid w:val="00466343"/>
    <w:rsid w:val="0047411C"/>
    <w:rsid w:val="00485F18"/>
    <w:rsid w:val="00491490"/>
    <w:rsid w:val="00494494"/>
    <w:rsid w:val="004969FA"/>
    <w:rsid w:val="004E026D"/>
    <w:rsid w:val="004E361C"/>
    <w:rsid w:val="004F5109"/>
    <w:rsid w:val="00502006"/>
    <w:rsid w:val="00502469"/>
    <w:rsid w:val="0051183A"/>
    <w:rsid w:val="00527104"/>
    <w:rsid w:val="00531C84"/>
    <w:rsid w:val="005401CB"/>
    <w:rsid w:val="0055010D"/>
    <w:rsid w:val="00563819"/>
    <w:rsid w:val="00564DEE"/>
    <w:rsid w:val="00567E09"/>
    <w:rsid w:val="0057441E"/>
    <w:rsid w:val="00596BF1"/>
    <w:rsid w:val="005A475E"/>
    <w:rsid w:val="005A5D0D"/>
    <w:rsid w:val="005C709B"/>
    <w:rsid w:val="005D6D05"/>
    <w:rsid w:val="005E557C"/>
    <w:rsid w:val="006019C5"/>
    <w:rsid w:val="006024A0"/>
    <w:rsid w:val="00602967"/>
    <w:rsid w:val="0060336E"/>
    <w:rsid w:val="00606F11"/>
    <w:rsid w:val="00610E4B"/>
    <w:rsid w:val="006127DF"/>
    <w:rsid w:val="00636B37"/>
    <w:rsid w:val="0067749E"/>
    <w:rsid w:val="00683ED6"/>
    <w:rsid w:val="00692944"/>
    <w:rsid w:val="006C1318"/>
    <w:rsid w:val="006C738F"/>
    <w:rsid w:val="006F3FDF"/>
    <w:rsid w:val="006F67DA"/>
    <w:rsid w:val="006F7A52"/>
    <w:rsid w:val="00711249"/>
    <w:rsid w:val="00712CAA"/>
    <w:rsid w:val="00715BC8"/>
    <w:rsid w:val="00716A8B"/>
    <w:rsid w:val="00721E6E"/>
    <w:rsid w:val="007277C7"/>
    <w:rsid w:val="00730F76"/>
    <w:rsid w:val="00732AA7"/>
    <w:rsid w:val="00744A45"/>
    <w:rsid w:val="00754C6D"/>
    <w:rsid w:val="00755096"/>
    <w:rsid w:val="007703B4"/>
    <w:rsid w:val="007A34A3"/>
    <w:rsid w:val="007A43D0"/>
    <w:rsid w:val="007B0AF0"/>
    <w:rsid w:val="007B32CA"/>
    <w:rsid w:val="007B7CAF"/>
    <w:rsid w:val="007C2954"/>
    <w:rsid w:val="007C4B13"/>
    <w:rsid w:val="007C67B3"/>
    <w:rsid w:val="007C6F39"/>
    <w:rsid w:val="007D4F70"/>
    <w:rsid w:val="007E7CAB"/>
    <w:rsid w:val="0082016B"/>
    <w:rsid w:val="008208EA"/>
    <w:rsid w:val="008273F7"/>
    <w:rsid w:val="00832B9F"/>
    <w:rsid w:val="00837B12"/>
    <w:rsid w:val="00841282"/>
    <w:rsid w:val="008552A3"/>
    <w:rsid w:val="00876BE7"/>
    <w:rsid w:val="00882652"/>
    <w:rsid w:val="00894937"/>
    <w:rsid w:val="00895267"/>
    <w:rsid w:val="008A525D"/>
    <w:rsid w:val="00912725"/>
    <w:rsid w:val="00917386"/>
    <w:rsid w:val="00927302"/>
    <w:rsid w:val="00930BAE"/>
    <w:rsid w:val="0095609A"/>
    <w:rsid w:val="00972F90"/>
    <w:rsid w:val="00981688"/>
    <w:rsid w:val="00990D82"/>
    <w:rsid w:val="00991528"/>
    <w:rsid w:val="009A5430"/>
    <w:rsid w:val="009B2110"/>
    <w:rsid w:val="009B3A87"/>
    <w:rsid w:val="009B7AB5"/>
    <w:rsid w:val="009C0A4D"/>
    <w:rsid w:val="009C15C4"/>
    <w:rsid w:val="009E3843"/>
    <w:rsid w:val="009E727E"/>
    <w:rsid w:val="009F53F9"/>
    <w:rsid w:val="009F659E"/>
    <w:rsid w:val="00A05391"/>
    <w:rsid w:val="00A244E9"/>
    <w:rsid w:val="00A317A9"/>
    <w:rsid w:val="00A41149"/>
    <w:rsid w:val="00A70A26"/>
    <w:rsid w:val="00A85E38"/>
    <w:rsid w:val="00AB70F0"/>
    <w:rsid w:val="00AC2247"/>
    <w:rsid w:val="00AC3796"/>
    <w:rsid w:val="00AE08B4"/>
    <w:rsid w:val="00AE7157"/>
    <w:rsid w:val="00B16D95"/>
    <w:rsid w:val="00B20316"/>
    <w:rsid w:val="00B25DDC"/>
    <w:rsid w:val="00B32333"/>
    <w:rsid w:val="00B34E3C"/>
    <w:rsid w:val="00B41C07"/>
    <w:rsid w:val="00B47C80"/>
    <w:rsid w:val="00B62597"/>
    <w:rsid w:val="00B63499"/>
    <w:rsid w:val="00B75B2A"/>
    <w:rsid w:val="00B7790E"/>
    <w:rsid w:val="00B90DC7"/>
    <w:rsid w:val="00BA6146"/>
    <w:rsid w:val="00BB531B"/>
    <w:rsid w:val="00BB6921"/>
    <w:rsid w:val="00BB7931"/>
    <w:rsid w:val="00BC25FF"/>
    <w:rsid w:val="00BC6328"/>
    <w:rsid w:val="00BD40D5"/>
    <w:rsid w:val="00BF331B"/>
    <w:rsid w:val="00C10A93"/>
    <w:rsid w:val="00C23D3B"/>
    <w:rsid w:val="00C414B1"/>
    <w:rsid w:val="00C439EC"/>
    <w:rsid w:val="00C46FB9"/>
    <w:rsid w:val="00C5307B"/>
    <w:rsid w:val="00C53ED7"/>
    <w:rsid w:val="00C552FC"/>
    <w:rsid w:val="00C72168"/>
    <w:rsid w:val="00C757F4"/>
    <w:rsid w:val="00C75A9D"/>
    <w:rsid w:val="00C8410C"/>
    <w:rsid w:val="00C852FD"/>
    <w:rsid w:val="00C87084"/>
    <w:rsid w:val="00CA49B9"/>
    <w:rsid w:val="00CB19DE"/>
    <w:rsid w:val="00CB475B"/>
    <w:rsid w:val="00CC1B47"/>
    <w:rsid w:val="00CE451E"/>
    <w:rsid w:val="00D06EC8"/>
    <w:rsid w:val="00D136EA"/>
    <w:rsid w:val="00D251ED"/>
    <w:rsid w:val="00D268BA"/>
    <w:rsid w:val="00D325DE"/>
    <w:rsid w:val="00D33D30"/>
    <w:rsid w:val="00D471E5"/>
    <w:rsid w:val="00D53C88"/>
    <w:rsid w:val="00D55ABA"/>
    <w:rsid w:val="00D571C9"/>
    <w:rsid w:val="00D63695"/>
    <w:rsid w:val="00D821C4"/>
    <w:rsid w:val="00D831E4"/>
    <w:rsid w:val="00D92FB6"/>
    <w:rsid w:val="00D95949"/>
    <w:rsid w:val="00DA10D9"/>
    <w:rsid w:val="00DA23DE"/>
    <w:rsid w:val="00DA42DA"/>
    <w:rsid w:val="00DB29E9"/>
    <w:rsid w:val="00DB7DFB"/>
    <w:rsid w:val="00DC558D"/>
    <w:rsid w:val="00DE1326"/>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8731D"/>
    <w:rsid w:val="00E97036"/>
    <w:rsid w:val="00EA2C24"/>
    <w:rsid w:val="00EB68B0"/>
    <w:rsid w:val="00EB7527"/>
    <w:rsid w:val="00EF34C4"/>
    <w:rsid w:val="00EF526D"/>
    <w:rsid w:val="00F4190F"/>
    <w:rsid w:val="00F5077C"/>
    <w:rsid w:val="00F66863"/>
    <w:rsid w:val="00F85007"/>
    <w:rsid w:val="00F91F0F"/>
    <w:rsid w:val="00FA2CEA"/>
    <w:rsid w:val="00FA5871"/>
    <w:rsid w:val="00FA5955"/>
    <w:rsid w:val="00FB1739"/>
    <w:rsid w:val="00FC18CE"/>
    <w:rsid w:val="00FC2B9A"/>
    <w:rsid w:val="00FC59B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ustsvc@pjm.com"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C66AE-F1C0-48EB-9E00-66844393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