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F86243">
        <w:rPr>
          <w:rFonts w:ascii="Arial Narrow" w:eastAsia="Times New Roman" w:hAnsi="Arial Narrow" w:cs="Times New Roman"/>
          <w:b/>
          <w:sz w:val="24"/>
          <w:szCs w:val="24"/>
        </w:rPr>
        <w:t>PJM Mid-Atlantic</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7D6D29" w:rsidP="00755096">
      <w:pPr>
        <w:pStyle w:val="MeetingDetails"/>
      </w:pPr>
      <w:r>
        <w:t>Thursday January</w:t>
      </w:r>
      <w:r w:rsidR="00C5393A">
        <w:t xml:space="preserve"> 20</w:t>
      </w:r>
      <w:r w:rsidR="005B510B">
        <w:t>th</w:t>
      </w:r>
      <w:r w:rsidR="00557339">
        <w:t>, 20</w:t>
      </w:r>
      <w:r>
        <w:t>22</w:t>
      </w:r>
    </w:p>
    <w:p w:rsidR="00B62597" w:rsidRPr="00B62597" w:rsidRDefault="007323E8" w:rsidP="00755096">
      <w:pPr>
        <w:pStyle w:val="MeetingDetails"/>
        <w:rPr>
          <w:sz w:val="28"/>
          <w:u w:val="single"/>
        </w:rPr>
      </w:pPr>
      <w:r>
        <w:t>1</w:t>
      </w:r>
      <w:r w:rsidR="005B510B">
        <w:t>:00</w:t>
      </w:r>
      <w:r>
        <w:t xml:space="preserve"> </w:t>
      </w:r>
      <w:proofErr w:type="spellStart"/>
      <w:r>
        <w:t>p.m</w:t>
      </w:r>
      <w:proofErr w:type="spellEnd"/>
      <w:r>
        <w:t xml:space="preserve"> – 4</w:t>
      </w:r>
      <w:r w:rsidR="005B510B">
        <w:t>:00 p.m</w:t>
      </w:r>
      <w:r w:rsidR="003464E0" w:rsidRPr="003464E0">
        <w:t>.</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8644BB" w:rsidRDefault="007D6D29" w:rsidP="008644BB">
      <w:pPr>
        <w:pStyle w:val="ListSubhead1"/>
        <w:rPr>
          <w:b w:val="0"/>
        </w:rPr>
      </w:pPr>
      <w:r>
        <w:t>Reliability Analysis Update</w:t>
      </w:r>
      <w:r w:rsidR="00393A02">
        <w:t xml:space="preserve"> </w:t>
      </w:r>
      <w:r w:rsidR="008644BB">
        <w:br/>
      </w:r>
      <w:r>
        <w:rPr>
          <w:b w:val="0"/>
        </w:rPr>
        <w:t>PJM will present the Reliability Analysis Update</w:t>
      </w:r>
      <w:r w:rsidR="00393A02">
        <w:rPr>
          <w:b w:val="0"/>
        </w:rPr>
        <w:t>.</w:t>
      </w:r>
    </w:p>
    <w:p w:rsidR="007D6D29" w:rsidRPr="007D6D29" w:rsidRDefault="007D6D29" w:rsidP="007D6D29">
      <w:pPr>
        <w:pStyle w:val="ListSubhead1"/>
        <w:rPr>
          <w:b w:val="0"/>
        </w:rPr>
      </w:pPr>
      <w:r>
        <w:t xml:space="preserve">PSEG – Supplemental Projects </w:t>
      </w:r>
      <w:r>
        <w:br/>
      </w:r>
      <w:r>
        <w:rPr>
          <w:b w:val="0"/>
        </w:rPr>
        <w:t>PSEG will present 1 potential solution.</w:t>
      </w:r>
    </w:p>
    <w:p w:rsidR="00393A02" w:rsidRDefault="007D6D29" w:rsidP="00393A02">
      <w:pPr>
        <w:pStyle w:val="ListSubhead1"/>
        <w:rPr>
          <w:b w:val="0"/>
        </w:rPr>
      </w:pPr>
      <w:r>
        <w:t>PECO</w:t>
      </w:r>
      <w:r w:rsidR="00393A02">
        <w:t xml:space="preserve"> – Supplemental Projects </w:t>
      </w:r>
      <w:r w:rsidR="00393A02">
        <w:br/>
      </w:r>
      <w:r>
        <w:rPr>
          <w:b w:val="0"/>
        </w:rPr>
        <w:t>PECO</w:t>
      </w:r>
      <w:r w:rsidR="00393A02">
        <w:rPr>
          <w:b w:val="0"/>
        </w:rPr>
        <w:t xml:space="preserve"> will present 1</w:t>
      </w:r>
      <w:r>
        <w:rPr>
          <w:b w:val="0"/>
        </w:rPr>
        <w:t xml:space="preserve"> potential solution</w:t>
      </w:r>
      <w:r w:rsidR="00393A02">
        <w:rPr>
          <w:b w:val="0"/>
        </w:rPr>
        <w:t>.</w:t>
      </w:r>
    </w:p>
    <w:p w:rsidR="007D6D29" w:rsidRPr="007D6D29" w:rsidRDefault="007D6D29" w:rsidP="007D6D29">
      <w:pPr>
        <w:pStyle w:val="ListSubhead1"/>
        <w:rPr>
          <w:b w:val="0"/>
        </w:rPr>
      </w:pPr>
      <w:proofErr w:type="spellStart"/>
      <w:r>
        <w:t>MetEd</w:t>
      </w:r>
      <w:proofErr w:type="spellEnd"/>
      <w:r>
        <w:t xml:space="preserve"> – Supplemental Projects </w:t>
      </w:r>
      <w:r>
        <w:br/>
      </w:r>
      <w:proofErr w:type="spellStart"/>
      <w:r>
        <w:rPr>
          <w:b w:val="0"/>
        </w:rPr>
        <w:t>MetEd</w:t>
      </w:r>
      <w:proofErr w:type="spellEnd"/>
      <w:r>
        <w:rPr>
          <w:b w:val="0"/>
        </w:rPr>
        <w:t xml:space="preserve"> will present 2 potential solutions.</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C5393A" w:rsidTr="007323E8">
        <w:trPr>
          <w:trHeight w:val="180"/>
        </w:trPr>
        <w:tc>
          <w:tcPr>
            <w:tcW w:w="1877" w:type="dxa"/>
            <w:vAlign w:val="center"/>
          </w:tcPr>
          <w:p w:rsidR="00C5393A" w:rsidRDefault="00C5393A" w:rsidP="00D61ECA">
            <w:pPr>
              <w:pStyle w:val="AttendeesList"/>
            </w:pPr>
            <w:bookmarkStart w:id="2" w:name="_GoBack"/>
            <w:bookmarkEnd w:id="2"/>
            <w:r>
              <w:t>February 17</w:t>
            </w:r>
            <w:r w:rsidRPr="00C5393A">
              <w:rPr>
                <w:vertAlign w:val="superscript"/>
              </w:rPr>
              <w:t>th</w:t>
            </w:r>
            <w:r>
              <w:t>, 2022</w:t>
            </w:r>
          </w:p>
        </w:tc>
        <w:tc>
          <w:tcPr>
            <w:tcW w:w="4353" w:type="dxa"/>
            <w:vAlign w:val="center"/>
          </w:tcPr>
          <w:p w:rsidR="00C5393A" w:rsidRDefault="00C5393A" w:rsidP="00C5393A">
            <w:pPr>
              <w:pStyle w:val="AttendeesList"/>
              <w:jc w:val="center"/>
            </w:pPr>
            <w:r>
              <w:t xml:space="preserve">1:00 </w:t>
            </w:r>
            <w:proofErr w:type="spellStart"/>
            <w:r>
              <w:t>p.m</w:t>
            </w:r>
            <w:proofErr w:type="spellEnd"/>
            <w:r>
              <w:t xml:space="preserve"> – 4:00 </w:t>
            </w:r>
            <w:proofErr w:type="spellStart"/>
            <w:r>
              <w:t>p.m</w:t>
            </w:r>
            <w:proofErr w:type="spellEnd"/>
          </w:p>
        </w:tc>
        <w:tc>
          <w:tcPr>
            <w:tcW w:w="3130" w:type="dxa"/>
            <w:vAlign w:val="center"/>
          </w:tcPr>
          <w:p w:rsidR="00C5393A" w:rsidRDefault="00C5393A" w:rsidP="00C5393A">
            <w:pPr>
              <w:pStyle w:val="AttendeesList"/>
              <w:jc w:val="right"/>
            </w:pPr>
            <w:r>
              <w:t>Teleconference</w:t>
            </w:r>
          </w:p>
        </w:tc>
      </w:tr>
      <w:tr w:rsidR="00C5393A" w:rsidTr="007323E8">
        <w:trPr>
          <w:trHeight w:val="180"/>
        </w:trPr>
        <w:tc>
          <w:tcPr>
            <w:tcW w:w="1877" w:type="dxa"/>
            <w:vAlign w:val="center"/>
          </w:tcPr>
          <w:p w:rsidR="00C5393A" w:rsidRDefault="00C5393A" w:rsidP="00C5393A">
            <w:pPr>
              <w:pStyle w:val="AttendeesList"/>
            </w:pPr>
            <w:r>
              <w:t>March 17</w:t>
            </w:r>
            <w:r w:rsidRPr="00C5393A">
              <w:rPr>
                <w:vertAlign w:val="superscript"/>
              </w:rPr>
              <w:t>th</w:t>
            </w:r>
            <w:r>
              <w:t>, 2022</w:t>
            </w:r>
          </w:p>
        </w:tc>
        <w:tc>
          <w:tcPr>
            <w:tcW w:w="4353" w:type="dxa"/>
            <w:vAlign w:val="center"/>
          </w:tcPr>
          <w:p w:rsidR="00C5393A" w:rsidRDefault="00C5393A" w:rsidP="00C5393A">
            <w:pPr>
              <w:pStyle w:val="AttendeesList"/>
              <w:jc w:val="center"/>
            </w:pPr>
            <w:r>
              <w:t xml:space="preserve">1:00 </w:t>
            </w:r>
            <w:proofErr w:type="spellStart"/>
            <w:r>
              <w:t>p.m</w:t>
            </w:r>
            <w:proofErr w:type="spellEnd"/>
            <w:r>
              <w:t xml:space="preserve"> – 4:00 </w:t>
            </w:r>
            <w:proofErr w:type="spellStart"/>
            <w:r>
              <w:t>p.m</w:t>
            </w:r>
            <w:proofErr w:type="spellEnd"/>
          </w:p>
        </w:tc>
        <w:tc>
          <w:tcPr>
            <w:tcW w:w="3130" w:type="dxa"/>
            <w:vAlign w:val="center"/>
          </w:tcPr>
          <w:p w:rsidR="00C5393A" w:rsidRDefault="00C5393A" w:rsidP="00C5393A">
            <w:pPr>
              <w:pStyle w:val="AttendeesList"/>
              <w:jc w:val="right"/>
            </w:pPr>
            <w:r>
              <w:t>Teleconference</w:t>
            </w:r>
          </w:p>
        </w:tc>
      </w:tr>
      <w:tr w:rsidR="00C5393A" w:rsidTr="007323E8">
        <w:trPr>
          <w:trHeight w:val="180"/>
        </w:trPr>
        <w:tc>
          <w:tcPr>
            <w:tcW w:w="1877" w:type="dxa"/>
            <w:vAlign w:val="center"/>
          </w:tcPr>
          <w:p w:rsidR="00C5393A" w:rsidRDefault="00C5393A" w:rsidP="00C5393A">
            <w:pPr>
              <w:pStyle w:val="AttendeesList"/>
            </w:pPr>
            <w:r>
              <w:t>April 19</w:t>
            </w:r>
            <w:r w:rsidRPr="00C5393A">
              <w:rPr>
                <w:vertAlign w:val="superscript"/>
              </w:rPr>
              <w:t>th</w:t>
            </w:r>
            <w:r>
              <w:t>, 2022</w:t>
            </w:r>
          </w:p>
        </w:tc>
        <w:tc>
          <w:tcPr>
            <w:tcW w:w="4353" w:type="dxa"/>
            <w:vAlign w:val="center"/>
          </w:tcPr>
          <w:p w:rsidR="00C5393A" w:rsidRDefault="00C5393A" w:rsidP="00C5393A">
            <w:pPr>
              <w:pStyle w:val="AttendeesList"/>
              <w:jc w:val="center"/>
            </w:pPr>
            <w:r>
              <w:t xml:space="preserve">12:30 </w:t>
            </w:r>
            <w:proofErr w:type="spellStart"/>
            <w:r>
              <w:t>p.m</w:t>
            </w:r>
            <w:proofErr w:type="spellEnd"/>
            <w:r>
              <w:t xml:space="preserve"> – 3:00 </w:t>
            </w:r>
            <w:proofErr w:type="spellStart"/>
            <w:r>
              <w:t>p.m</w:t>
            </w:r>
            <w:proofErr w:type="spellEnd"/>
            <w:r>
              <w:t xml:space="preserve"> </w:t>
            </w:r>
          </w:p>
        </w:tc>
        <w:tc>
          <w:tcPr>
            <w:tcW w:w="3130" w:type="dxa"/>
            <w:vAlign w:val="center"/>
          </w:tcPr>
          <w:p w:rsidR="00C5393A" w:rsidRDefault="00C5393A" w:rsidP="00C5393A">
            <w:pPr>
              <w:pStyle w:val="AttendeesList"/>
              <w:jc w:val="right"/>
            </w:pPr>
            <w:r>
              <w:t>Teleconference</w:t>
            </w:r>
          </w:p>
        </w:tc>
      </w:tr>
      <w:tr w:rsidR="00C5393A" w:rsidTr="007323E8">
        <w:trPr>
          <w:trHeight w:val="180"/>
        </w:trPr>
        <w:tc>
          <w:tcPr>
            <w:tcW w:w="1877" w:type="dxa"/>
            <w:vAlign w:val="center"/>
          </w:tcPr>
          <w:p w:rsidR="00C5393A" w:rsidRDefault="00C5393A" w:rsidP="00C5393A">
            <w:pPr>
              <w:pStyle w:val="AttendeesList"/>
            </w:pPr>
          </w:p>
        </w:tc>
        <w:tc>
          <w:tcPr>
            <w:tcW w:w="4353" w:type="dxa"/>
            <w:vAlign w:val="center"/>
          </w:tcPr>
          <w:p w:rsidR="00C5393A" w:rsidRDefault="00C5393A" w:rsidP="00C5393A">
            <w:pPr>
              <w:pStyle w:val="AttendeesList"/>
              <w:jc w:val="center"/>
            </w:pPr>
          </w:p>
        </w:tc>
        <w:tc>
          <w:tcPr>
            <w:tcW w:w="3130" w:type="dxa"/>
            <w:vAlign w:val="center"/>
          </w:tcPr>
          <w:p w:rsidR="00C5393A" w:rsidRDefault="00C5393A" w:rsidP="00C5393A">
            <w:pPr>
              <w:pStyle w:val="AttendeesList"/>
              <w:jc w:val="right"/>
            </w:pPr>
          </w:p>
        </w:tc>
      </w:tr>
      <w:tr w:rsidR="00C5393A" w:rsidTr="00805ABF">
        <w:tc>
          <w:tcPr>
            <w:tcW w:w="1877" w:type="dxa"/>
            <w:vAlign w:val="center"/>
          </w:tcPr>
          <w:p w:rsidR="00C5393A" w:rsidRDefault="00C5393A" w:rsidP="00C5393A">
            <w:pPr>
              <w:pStyle w:val="AttendeesList"/>
            </w:pPr>
          </w:p>
        </w:tc>
        <w:tc>
          <w:tcPr>
            <w:tcW w:w="4353" w:type="dxa"/>
            <w:vAlign w:val="center"/>
          </w:tcPr>
          <w:p w:rsidR="00C5393A" w:rsidRDefault="00C5393A" w:rsidP="00C5393A">
            <w:pPr>
              <w:pStyle w:val="AttendeesList"/>
            </w:pPr>
          </w:p>
        </w:tc>
        <w:tc>
          <w:tcPr>
            <w:tcW w:w="3130" w:type="dxa"/>
            <w:vAlign w:val="center"/>
          </w:tcPr>
          <w:p w:rsidR="00C5393A" w:rsidRDefault="00C5393A" w:rsidP="00C5393A">
            <w:pPr>
              <w:pStyle w:val="AttendeesList"/>
            </w:pPr>
          </w:p>
        </w:tc>
      </w:tr>
      <w:tr w:rsidR="00C5393A" w:rsidTr="00805ABF">
        <w:tc>
          <w:tcPr>
            <w:tcW w:w="1877" w:type="dxa"/>
            <w:vAlign w:val="center"/>
          </w:tcPr>
          <w:p w:rsidR="00C5393A" w:rsidRDefault="00C5393A" w:rsidP="00C5393A">
            <w:pPr>
              <w:pStyle w:val="AttendeesList"/>
            </w:pPr>
          </w:p>
        </w:tc>
        <w:tc>
          <w:tcPr>
            <w:tcW w:w="4353" w:type="dxa"/>
            <w:vAlign w:val="center"/>
          </w:tcPr>
          <w:p w:rsidR="00C5393A" w:rsidRDefault="00C5393A" w:rsidP="00C5393A">
            <w:pPr>
              <w:pStyle w:val="AttendeesList"/>
            </w:pPr>
          </w:p>
        </w:tc>
        <w:tc>
          <w:tcPr>
            <w:tcW w:w="3130" w:type="dxa"/>
            <w:vAlign w:val="center"/>
          </w:tcPr>
          <w:p w:rsidR="00C5393A" w:rsidRDefault="00C5393A" w:rsidP="00C5393A">
            <w:pPr>
              <w:pStyle w:val="AttendeesList"/>
            </w:pP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B6" w:rsidRDefault="00BB03B6" w:rsidP="00B62597">
      <w:pPr>
        <w:spacing w:after="0" w:line="240" w:lineRule="auto"/>
      </w:pPr>
      <w:r>
        <w:separator/>
      </w:r>
    </w:p>
  </w:endnote>
  <w:endnote w:type="continuationSeparator" w:id="0">
    <w:p w:rsidR="00BB03B6" w:rsidRDefault="00BB03B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E0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E0A85">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B6" w:rsidRDefault="00BB03B6" w:rsidP="00B62597">
      <w:pPr>
        <w:spacing w:after="0" w:line="240" w:lineRule="auto"/>
      </w:pPr>
      <w:r>
        <w:separator/>
      </w:r>
    </w:p>
  </w:footnote>
  <w:footnote w:type="continuationSeparator" w:id="0">
    <w:p w:rsidR="00BB03B6" w:rsidRDefault="00BB03B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79E"/>
    <w:rsid w:val="001C0CC0"/>
    <w:rsid w:val="001D3B68"/>
    <w:rsid w:val="002113BD"/>
    <w:rsid w:val="002336B3"/>
    <w:rsid w:val="0028784C"/>
    <w:rsid w:val="002B2F98"/>
    <w:rsid w:val="002C6057"/>
    <w:rsid w:val="00305238"/>
    <w:rsid w:val="003251CE"/>
    <w:rsid w:val="00337321"/>
    <w:rsid w:val="003464E0"/>
    <w:rsid w:val="00373A54"/>
    <w:rsid w:val="0038033E"/>
    <w:rsid w:val="00393A02"/>
    <w:rsid w:val="00396329"/>
    <w:rsid w:val="003A10F5"/>
    <w:rsid w:val="003B55E1"/>
    <w:rsid w:val="003C1DBB"/>
    <w:rsid w:val="003C7A11"/>
    <w:rsid w:val="003D7E5C"/>
    <w:rsid w:val="003E6DD5"/>
    <w:rsid w:val="003E7A73"/>
    <w:rsid w:val="003F68D4"/>
    <w:rsid w:val="003F7E3F"/>
    <w:rsid w:val="00410213"/>
    <w:rsid w:val="00430CFF"/>
    <w:rsid w:val="00491490"/>
    <w:rsid w:val="00494494"/>
    <w:rsid w:val="004954DF"/>
    <w:rsid w:val="004969FA"/>
    <w:rsid w:val="004A397E"/>
    <w:rsid w:val="004B60E8"/>
    <w:rsid w:val="004C5C5E"/>
    <w:rsid w:val="004D0F58"/>
    <w:rsid w:val="004E01A0"/>
    <w:rsid w:val="00507E12"/>
    <w:rsid w:val="00512BAC"/>
    <w:rsid w:val="00527104"/>
    <w:rsid w:val="00557339"/>
    <w:rsid w:val="005608EF"/>
    <w:rsid w:val="00564DEE"/>
    <w:rsid w:val="005667AA"/>
    <w:rsid w:val="00566C13"/>
    <w:rsid w:val="0057441E"/>
    <w:rsid w:val="005B510B"/>
    <w:rsid w:val="005D1EBC"/>
    <w:rsid w:val="005D538F"/>
    <w:rsid w:val="005D6D05"/>
    <w:rsid w:val="00602967"/>
    <w:rsid w:val="00606F11"/>
    <w:rsid w:val="0062099F"/>
    <w:rsid w:val="006838EB"/>
    <w:rsid w:val="006B289B"/>
    <w:rsid w:val="006E25C1"/>
    <w:rsid w:val="00712CAA"/>
    <w:rsid w:val="00716A8B"/>
    <w:rsid w:val="007323E8"/>
    <w:rsid w:val="007429B2"/>
    <w:rsid w:val="00744A45"/>
    <w:rsid w:val="00753EDF"/>
    <w:rsid w:val="00754C6D"/>
    <w:rsid w:val="00755096"/>
    <w:rsid w:val="00760FBF"/>
    <w:rsid w:val="00772B5D"/>
    <w:rsid w:val="007904EE"/>
    <w:rsid w:val="00794BB5"/>
    <w:rsid w:val="007A34A3"/>
    <w:rsid w:val="007A5C93"/>
    <w:rsid w:val="007C2954"/>
    <w:rsid w:val="007C3B33"/>
    <w:rsid w:val="007D4F70"/>
    <w:rsid w:val="007D6D29"/>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9464D"/>
    <w:rsid w:val="00CA49B9"/>
    <w:rsid w:val="00CB19DE"/>
    <w:rsid w:val="00CB40AC"/>
    <w:rsid w:val="00CB475B"/>
    <w:rsid w:val="00CC1227"/>
    <w:rsid w:val="00CC1B47"/>
    <w:rsid w:val="00CC6495"/>
    <w:rsid w:val="00CE314B"/>
    <w:rsid w:val="00D136EA"/>
    <w:rsid w:val="00D251ED"/>
    <w:rsid w:val="00D426C9"/>
    <w:rsid w:val="00D548C2"/>
    <w:rsid w:val="00D56D7C"/>
    <w:rsid w:val="00D61ECA"/>
    <w:rsid w:val="00D95949"/>
    <w:rsid w:val="00DB29E9"/>
    <w:rsid w:val="00DC3657"/>
    <w:rsid w:val="00DE3372"/>
    <w:rsid w:val="00DE34CF"/>
    <w:rsid w:val="00DF54B9"/>
    <w:rsid w:val="00E06771"/>
    <w:rsid w:val="00E32B6B"/>
    <w:rsid w:val="00E55E84"/>
    <w:rsid w:val="00E86702"/>
    <w:rsid w:val="00EA51B6"/>
    <w:rsid w:val="00EB68B0"/>
    <w:rsid w:val="00ED7BF9"/>
    <w:rsid w:val="00F02F28"/>
    <w:rsid w:val="00F4190F"/>
    <w:rsid w:val="00F566FE"/>
    <w:rsid w:val="00F75E95"/>
    <w:rsid w:val="00F86243"/>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F52699"/>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1388</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16</cp:revision>
  <cp:lastPrinted>2021-03-11T14:37:00Z</cp:lastPrinted>
  <dcterms:created xsi:type="dcterms:W3CDTF">2021-07-28T15:10:00Z</dcterms:created>
  <dcterms:modified xsi:type="dcterms:W3CDTF">2022-01-10T17:42:00Z</dcterms:modified>
</cp:coreProperties>
</file>