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Center/Webex</w:t>
      </w:r>
    </w:p>
    <w:p w:rsidR="00B62597" w:rsidRPr="00B62597" w:rsidP="00755096">
      <w:pPr>
        <w:pStyle w:val="MeetingDetails"/>
      </w:pPr>
      <w:r>
        <w:t>March 21</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AC2339">
        <w:t>2</w:t>
      </w:r>
      <w:r w:rsidRPr="00527104">
        <w:t>0)</w:t>
      </w:r>
    </w:p>
    <w:bookmarkEnd w:id="0"/>
    <w:bookmarkEnd w:id="1"/>
    <w:p w:rsidR="001622E2" w:rsidRPr="001622E2" w:rsidP="001622E2">
      <w:pPr>
        <w:pStyle w:val="SecondaryHeading-Numbered"/>
        <w:rPr>
          <w:b w:val="0"/>
        </w:rPr>
      </w:pPr>
      <w:r w:rsidRPr="001622E2">
        <w:rPr>
          <w:b w:val="0"/>
        </w:rPr>
        <w:t xml:space="preserve">Jim Gluck and </w:t>
      </w:r>
      <w:r>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4B171D">
        <w:rPr>
          <w:b w:val="0"/>
        </w:rPr>
        <w:t>February 22</w:t>
      </w:r>
      <w:r w:rsidRPr="001622E2">
        <w:rPr>
          <w:b w:val="0"/>
        </w:rPr>
        <w:t>, 202</w:t>
      </w:r>
      <w:r w:rsidR="00E06306">
        <w:rPr>
          <w:b w:val="0"/>
        </w:rPr>
        <w:t>3</w:t>
      </w:r>
      <w:r w:rsidRPr="001622E2">
        <w:rPr>
          <w:b w:val="0"/>
        </w:rPr>
        <w:t xml:space="preserve"> Risk Management Committee meeting.</w:t>
      </w:r>
    </w:p>
    <w:p w:rsidR="001622E2" w:rsidRPr="00CE09BA" w:rsidP="001622E2">
      <w:pPr>
        <w:pStyle w:val="ListSubhead1"/>
      </w:pPr>
      <w:r>
        <w:rPr>
          <w:b w:val="0"/>
        </w:rPr>
        <w:t>Emmy Messina, PJM, will review the Ris</w:t>
      </w:r>
      <w:r w:rsidRPr="00CE09BA">
        <w:rPr>
          <w:b w:val="0"/>
        </w:rPr>
        <w:t>k Management Committee work plan.</w:t>
      </w:r>
    </w:p>
    <w:p w:rsidR="0023590C" w:rsidRPr="00CE09BA" w:rsidP="00CE09BA">
      <w:pPr>
        <w:pStyle w:val="ListSubhead1"/>
        <w:rPr>
          <w:b w:val="0"/>
        </w:rPr>
      </w:pPr>
      <w:r w:rsidRPr="00CE09BA">
        <w:rPr>
          <w:b w:val="0"/>
        </w:rPr>
        <w:t>Kathleen Patt, PJM, will review the Annual Officer Certification Form process and timing.</w:t>
      </w:r>
    </w:p>
    <w:p w:rsidR="0083384F" w:rsidP="0083384F">
      <w:pPr>
        <w:pStyle w:val="PrimaryHeading"/>
      </w:pPr>
      <w:r>
        <w:t>Informational Updates (1:20-3:</w:t>
      </w:r>
      <w:r w:rsidRPr="00ED1E64" w:rsidR="005508A4">
        <w:rPr>
          <w:strike/>
          <w:color w:val="FF0000"/>
        </w:rPr>
        <w:t>35</w:t>
      </w:r>
      <w:r w:rsidRPr="00ED1E64" w:rsidR="00ED1E64">
        <w:rPr>
          <w:color w:val="FF0000"/>
        </w:rPr>
        <w:t>55</w:t>
      </w:r>
      <w:r>
        <w:t>)</w:t>
      </w:r>
    </w:p>
    <w:p w:rsidR="00F65C7B" w:rsidP="00F65C7B">
      <w:pPr>
        <w:pStyle w:val="ListSubhead1"/>
        <w:numPr>
          <w:ilvl w:val="0"/>
          <w:numId w:val="0"/>
        </w:numPr>
        <w:ind w:left="360" w:hanging="360"/>
        <w:rPr>
          <w:b w:val="0"/>
          <w:color w:val="FF0000"/>
          <w:u w:val="single"/>
        </w:rPr>
      </w:pPr>
      <w:r w:rsidRPr="00F65C7B">
        <w:rPr>
          <w:b w:val="0"/>
          <w:color w:val="FF0000"/>
        </w:rPr>
        <w:t xml:space="preserve">X. </w:t>
      </w:r>
      <w:r>
        <w:rPr>
          <w:b w:val="0"/>
          <w:color w:val="FF0000"/>
        </w:rPr>
        <w:tab/>
      </w:r>
      <w:r w:rsidRPr="00F65C7B">
        <w:rPr>
          <w:b w:val="0"/>
          <w:color w:val="FF0000"/>
          <w:u w:val="single"/>
        </w:rPr>
        <w:t>PJM Bank Update (</w:t>
      </w:r>
      <w:r>
        <w:rPr>
          <w:b w:val="0"/>
          <w:color w:val="FF0000"/>
          <w:u w:val="single"/>
        </w:rPr>
        <w:t>1:20-1:40)</w:t>
      </w:r>
    </w:p>
    <w:p w:rsidR="00F257E5" w:rsidRPr="00F65C7B" w:rsidP="00F65C7B">
      <w:pPr>
        <w:pStyle w:val="ListSubhead1"/>
        <w:numPr>
          <w:ilvl w:val="0"/>
          <w:numId w:val="0"/>
        </w:numPr>
        <w:ind w:left="360" w:hanging="360"/>
        <w:rPr>
          <w:b w:val="0"/>
          <w:color w:val="FF0000"/>
        </w:rPr>
      </w:pPr>
      <w:r>
        <w:rPr>
          <w:b w:val="0"/>
          <w:color w:val="FF0000"/>
        </w:rPr>
        <w:tab/>
      </w:r>
      <w:r w:rsidR="00781022">
        <w:rPr>
          <w:b w:val="0"/>
          <w:color w:val="FF0000"/>
        </w:rPr>
        <w:t>Michael</w:t>
      </w:r>
      <w:bookmarkStart w:id="2" w:name="_GoBack"/>
      <w:bookmarkEnd w:id="2"/>
      <w:r w:rsidR="00781022">
        <w:rPr>
          <w:b w:val="0"/>
          <w:color w:val="FF0000"/>
        </w:rPr>
        <w:t xml:space="preserve"> Lyons, PNC Bank, </w:t>
      </w:r>
      <w:r w:rsidRPr="00C701B4" w:rsidR="00C701B4">
        <w:rPr>
          <w:b w:val="0"/>
          <w:color w:val="FF0000"/>
        </w:rPr>
        <w:t>will provide a profile of the bank and its financial strength.</w:t>
      </w:r>
    </w:p>
    <w:p w:rsidR="0083384F" w:rsidP="0083384F">
      <w:pPr>
        <w:pStyle w:val="ListSubhead1"/>
        <w:rPr>
          <w:b w:val="0"/>
          <w:u w:val="single"/>
        </w:rPr>
      </w:pPr>
      <w:r>
        <w:rPr>
          <w:b w:val="0"/>
          <w:u w:val="single"/>
        </w:rPr>
        <w:t>Winter Storm Elliott Update (</w:t>
      </w:r>
      <w:r w:rsidRPr="00C701B4">
        <w:rPr>
          <w:b w:val="0"/>
          <w:strike/>
          <w:color w:val="FF0000"/>
          <w:u w:val="single"/>
        </w:rPr>
        <w:t>1:</w:t>
      </w:r>
      <w:r w:rsidRPr="00C701B4" w:rsidR="00AC2339">
        <w:rPr>
          <w:b w:val="0"/>
          <w:strike/>
          <w:color w:val="FF0000"/>
          <w:u w:val="single"/>
        </w:rPr>
        <w:t>20-2:5</w:t>
      </w:r>
      <w:r w:rsidRPr="00C701B4">
        <w:rPr>
          <w:b w:val="0"/>
          <w:strike/>
          <w:color w:val="FF0000"/>
          <w:u w:val="single"/>
        </w:rPr>
        <w:t>0</w:t>
      </w:r>
      <w:r w:rsidRPr="00C701B4" w:rsidR="00C701B4">
        <w:rPr>
          <w:b w:val="0"/>
          <w:color w:val="FF0000"/>
          <w:u w:val="single"/>
        </w:rPr>
        <w:t>1:40-3:</w:t>
      </w:r>
      <w:r w:rsidR="00C701B4">
        <w:rPr>
          <w:b w:val="0"/>
          <w:color w:val="FF0000"/>
          <w:u w:val="single"/>
        </w:rPr>
        <w:t>1</w:t>
      </w:r>
      <w:r w:rsidRPr="00C701B4" w:rsidR="00C701B4">
        <w:rPr>
          <w:b w:val="0"/>
          <w:color w:val="FF0000"/>
          <w:u w:val="single"/>
        </w:rPr>
        <w:t>0</w:t>
      </w:r>
      <w:r>
        <w:rPr>
          <w:b w:val="0"/>
          <w:u w:val="single"/>
        </w:rPr>
        <w:t>)</w:t>
      </w:r>
    </w:p>
    <w:p w:rsidR="0083384F" w:rsidP="0083384F">
      <w:pPr>
        <w:pStyle w:val="ListSubhead1"/>
        <w:numPr>
          <w:ilvl w:val="0"/>
          <w:numId w:val="0"/>
        </w:numPr>
        <w:ind w:left="360"/>
        <w:rPr>
          <w:b w:val="0"/>
        </w:rPr>
      </w:pPr>
      <w:r w:rsidRPr="00E87E77">
        <w:rPr>
          <w:b w:val="0"/>
        </w:rPr>
        <w:t xml:space="preserve">PJM will provide details on the Performance Assessment Intervals related to Winter Storm Elliott, </w:t>
      </w:r>
      <w:r>
        <w:rPr>
          <w:b w:val="0"/>
        </w:rPr>
        <w:t xml:space="preserve">including </w:t>
      </w:r>
      <w:r w:rsidR="00633D10">
        <w:rPr>
          <w:b w:val="0"/>
        </w:rPr>
        <w:t>billing election information and</w:t>
      </w:r>
      <w:r w:rsidR="00DC7D14">
        <w:rPr>
          <w:b w:val="0"/>
        </w:rPr>
        <w:t xml:space="preserve"> </w:t>
      </w:r>
      <w:r w:rsidRPr="0023590C">
        <w:rPr>
          <w:b w:val="0"/>
        </w:rPr>
        <w:t>holdback</w:t>
      </w:r>
      <w:r>
        <w:rPr>
          <w:b w:val="0"/>
        </w:rPr>
        <w:t xml:space="preserve"> details and examples</w:t>
      </w:r>
      <w:r w:rsidR="00633D10">
        <w:rPr>
          <w:b w:val="0"/>
        </w:rPr>
        <w:t>.</w:t>
      </w:r>
    </w:p>
    <w:p w:rsidR="0083384F" w:rsidRPr="002A0805" w:rsidP="002A0805">
      <w:pPr>
        <w:pStyle w:val="ListSubhead1"/>
        <w:numPr>
          <w:ilvl w:val="0"/>
          <w:numId w:val="0"/>
        </w:numPr>
        <w:ind w:left="360"/>
        <w:rPr>
          <w:b w:val="0"/>
        </w:rPr>
      </w:pPr>
      <w:hyperlink r:id="rId4" w:history="1">
        <w:r w:rsidRPr="00F63E60" w:rsidR="009A550B">
          <w:rPr>
            <w:rStyle w:val="Hyperlink"/>
            <w:b w:val="0"/>
          </w:rPr>
          <w:t>Issue Tracking: Winter Storm Elliott</w:t>
        </w:r>
      </w:hyperlink>
    </w:p>
    <w:p w:rsidR="0083384F" w:rsidRPr="0023590C" w:rsidP="0083384F">
      <w:pPr>
        <w:pStyle w:val="ListSubhead1"/>
        <w:rPr>
          <w:b w:val="0"/>
          <w:u w:val="single"/>
        </w:rPr>
      </w:pPr>
      <w:r w:rsidRPr="0023590C">
        <w:rPr>
          <w:b w:val="0"/>
          <w:u w:val="single"/>
        </w:rPr>
        <w:t>Historical Simulation Initial Mar</w:t>
      </w:r>
      <w:r w:rsidR="002A0805">
        <w:rPr>
          <w:b w:val="0"/>
          <w:u w:val="single"/>
        </w:rPr>
        <w:t xml:space="preserve">gin (HSIM) </w:t>
      </w:r>
      <w:r w:rsidR="009C3C4B">
        <w:rPr>
          <w:b w:val="0"/>
          <w:u w:val="single"/>
        </w:rPr>
        <w:t>Update</w:t>
      </w:r>
      <w:r w:rsidR="002A0805">
        <w:rPr>
          <w:b w:val="0"/>
          <w:u w:val="single"/>
        </w:rPr>
        <w:t xml:space="preserve"> (</w:t>
      </w:r>
      <w:r w:rsidRPr="00C701B4" w:rsidR="002A0805">
        <w:rPr>
          <w:b w:val="0"/>
          <w:strike/>
          <w:color w:val="FF0000"/>
          <w:u w:val="single"/>
        </w:rPr>
        <w:t>2:5</w:t>
      </w:r>
      <w:r w:rsidRPr="00C701B4" w:rsidR="00AC2339">
        <w:rPr>
          <w:b w:val="0"/>
          <w:strike/>
          <w:color w:val="FF0000"/>
          <w:u w:val="single"/>
        </w:rPr>
        <w:t>0-3:</w:t>
      </w:r>
      <w:r w:rsidRPr="00C701B4" w:rsidR="002A0805">
        <w:rPr>
          <w:b w:val="0"/>
          <w:strike/>
          <w:color w:val="FF0000"/>
          <w:u w:val="single"/>
        </w:rPr>
        <w:t>2</w:t>
      </w:r>
      <w:r w:rsidRPr="00C701B4">
        <w:rPr>
          <w:b w:val="0"/>
          <w:strike/>
          <w:color w:val="FF0000"/>
          <w:u w:val="single"/>
        </w:rPr>
        <w:t>0</w:t>
      </w:r>
      <w:r w:rsidRPr="00C701B4" w:rsidR="00C701B4">
        <w:rPr>
          <w:b w:val="0"/>
          <w:color w:val="FF0000"/>
          <w:u w:val="single"/>
        </w:rPr>
        <w:t>3:10-3:40</w:t>
      </w:r>
      <w:r w:rsidRPr="0023590C">
        <w:rPr>
          <w:b w:val="0"/>
          <w:u w:val="single"/>
        </w:rPr>
        <w:t>)</w:t>
      </w:r>
    </w:p>
    <w:p w:rsidR="00A86FB6" w:rsidP="00A86FB6">
      <w:pPr>
        <w:pStyle w:val="ListSubhead1"/>
        <w:numPr>
          <w:ilvl w:val="0"/>
          <w:numId w:val="0"/>
        </w:numPr>
        <w:ind w:left="360"/>
        <w:rPr>
          <w:b w:val="0"/>
        </w:rPr>
      </w:pPr>
      <w:r w:rsidRPr="00A86FB6">
        <w:rPr>
          <w:b w:val="0"/>
        </w:rPr>
        <w:t>James Waweru, PJM, will share an update on HSIM including initial backtesting results.</w:t>
      </w:r>
    </w:p>
    <w:p w:rsidR="002028B9" w:rsidRPr="002028B9" w:rsidP="002028B9">
      <w:pPr>
        <w:pStyle w:val="ListSubhead1"/>
        <w:rPr>
          <w:rFonts w:ascii="Arial" w:hAnsi="Arial" w:cs="Arial"/>
          <w:b w:val="0"/>
          <w:sz w:val="21"/>
          <w:szCs w:val="21"/>
          <w:u w:val="single"/>
        </w:rPr>
      </w:pPr>
      <w:r w:rsidRPr="002028B9">
        <w:rPr>
          <w:b w:val="0"/>
          <w:u w:val="single"/>
        </w:rPr>
        <w:t>Key Risk Metrics</w:t>
      </w:r>
      <w:r w:rsidR="005508A4">
        <w:rPr>
          <w:b w:val="0"/>
          <w:u w:val="single"/>
        </w:rPr>
        <w:t xml:space="preserve"> (</w:t>
      </w:r>
      <w:r w:rsidRPr="00C701B4" w:rsidR="005508A4">
        <w:rPr>
          <w:b w:val="0"/>
          <w:strike/>
          <w:color w:val="FF0000"/>
          <w:u w:val="single"/>
        </w:rPr>
        <w:t>3:20 – 3:35</w:t>
      </w:r>
      <w:r w:rsidRPr="00C701B4" w:rsidR="00C701B4">
        <w:rPr>
          <w:b w:val="0"/>
          <w:color w:val="FF0000"/>
          <w:u w:val="single"/>
        </w:rPr>
        <w:t>3:40-3:55</w:t>
      </w:r>
      <w:r w:rsidR="005508A4">
        <w:rPr>
          <w:b w:val="0"/>
          <w:u w:val="single"/>
        </w:rPr>
        <w:t>)</w:t>
      </w:r>
    </w:p>
    <w:p w:rsidR="002028B9" w:rsidRPr="00A86FB6" w:rsidP="002028B9">
      <w:pPr>
        <w:pStyle w:val="ListSubhead1"/>
        <w:numPr>
          <w:ilvl w:val="0"/>
          <w:numId w:val="0"/>
        </w:numPr>
        <w:ind w:left="360"/>
        <w:rPr>
          <w:b w:val="0"/>
        </w:rPr>
      </w:pPr>
      <w:r>
        <w:rPr>
          <w:b w:val="0"/>
        </w:rPr>
        <w:t>Gwen Kelly, PJM, will review key risk metrics for the committee’s consideration and feedback.</w:t>
      </w:r>
    </w:p>
    <w:p w:rsidR="00B67EC4" w:rsidRPr="00B67EC4" w:rsidP="00B67EC4">
      <w:pPr>
        <w:pStyle w:val="PrimaryHeading"/>
      </w:pPr>
      <w:r>
        <w:t>Informational Section</w:t>
      </w:r>
    </w:p>
    <w:p w:rsidR="001622E2" w:rsidRPr="008F22B6" w:rsidP="00427E2F">
      <w:pPr>
        <w:pStyle w:val="MeetingDetails"/>
        <w:rPr>
          <w:b w:val="0"/>
          <w:u w:val="single"/>
        </w:rPr>
      </w:pPr>
      <w:r w:rsidRPr="008F22B6">
        <w:rPr>
          <w:b w:val="0"/>
          <w:u w:val="single"/>
        </w:rPr>
        <w:t>Operating Committee</w:t>
      </w:r>
      <w:r w:rsidR="007B6204">
        <w:rPr>
          <w:b w:val="0"/>
          <w:u w:val="single"/>
        </w:rPr>
        <w:t xml:space="preserve"> </w:t>
      </w:r>
      <w:r>
        <w:rPr>
          <w:b w:val="0"/>
          <w:u w:val="single"/>
        </w:rPr>
        <w:t>– Outage Coordination</w:t>
      </w:r>
    </w:p>
    <w:p w:rsidR="001622E2" w:rsidP="00427E2F">
      <w:pPr>
        <w:pStyle w:val="MeetingDetails"/>
        <w:rPr>
          <w:b w:val="0"/>
        </w:rPr>
      </w:pPr>
      <w:r w:rsidRPr="008F22B6">
        <w:rPr>
          <w:b w:val="0"/>
        </w:rPr>
        <w:t xml:space="preserve">Meeting materials and upcoming meeting dates are available on the </w:t>
      </w:r>
      <w:hyperlink r:id="rId5" w:history="1">
        <w:r w:rsidRPr="0004123F">
          <w:rPr>
            <w:rStyle w:val="Hyperlink"/>
            <w:b w:val="0"/>
          </w:rPr>
          <w:t>OC website</w:t>
        </w:r>
      </w:hyperlink>
      <w:r w:rsidRPr="008F22B6">
        <w:rPr>
          <w:b w:val="0"/>
        </w:rPr>
        <w:t>.</w:t>
      </w:r>
    </w:p>
    <w:p w:rsidR="001622E2" w:rsidP="00427E2F">
      <w:pPr>
        <w:pStyle w:val="MeetingDetails"/>
        <w:rPr>
          <w:b w:val="0"/>
        </w:rPr>
      </w:pPr>
    </w:p>
    <w:p w:rsidR="00893007" w:rsidP="001622E2">
      <w:pPr>
        <w:pStyle w:val="ListSubhead1"/>
        <w:numPr>
          <w:ilvl w:val="0"/>
          <w:numId w:val="0"/>
        </w:numPr>
        <w:rPr>
          <w:b w:val="0"/>
          <w:u w:val="single"/>
        </w:rPr>
      </w:pPr>
      <w:r w:rsidRPr="00FB76AE">
        <w:rPr>
          <w:b w:val="0"/>
          <w:u w:val="single"/>
        </w:rPr>
        <w:t>Governing Document Enhancement &amp; Clarification Subcommittee (GDECS)</w:t>
      </w:r>
      <w:r>
        <w:rPr>
          <w:b w:val="0"/>
          <w:u w:val="single"/>
        </w:rPr>
        <w:t xml:space="preserve"> Item</w:t>
      </w:r>
    </w:p>
    <w:p w:rsidR="001622E2" w:rsidP="00D71C55">
      <w:pPr>
        <w:pStyle w:val="MeetingDetails"/>
        <w:rPr>
          <w:b w:val="0"/>
        </w:rPr>
      </w:pPr>
      <w:r w:rsidRPr="006658B5">
        <w:rPr>
          <w:rStyle w:val="Hyperlink"/>
          <w:b w:val="0"/>
          <w:color w:val="000000" w:themeColor="text1"/>
          <w:u w:val="none"/>
        </w:rPr>
        <w:t>PJM will be presenting changes to the GDEC</w:t>
      </w:r>
      <w:r>
        <w:rPr>
          <w:rStyle w:val="Hyperlink"/>
          <w:b w:val="0"/>
          <w:color w:val="000000" w:themeColor="text1"/>
          <w:u w:val="none"/>
        </w:rPr>
        <w:t>S</w:t>
      </w:r>
      <w:r w:rsidRPr="006658B5">
        <w:rPr>
          <w:rStyle w:val="Hyperlink"/>
          <w:b w:val="0"/>
          <w:color w:val="000000" w:themeColor="text1"/>
          <w:u w:val="none"/>
        </w:rPr>
        <w:t xml:space="preserve"> to amend </w:t>
      </w:r>
      <w:r>
        <w:rPr>
          <w:rStyle w:val="Hyperlink"/>
          <w:b w:val="0"/>
          <w:color w:val="000000" w:themeColor="text1"/>
          <w:u w:val="none"/>
        </w:rPr>
        <w:t xml:space="preserve">Tariff, Attachment Q, section </w:t>
      </w:r>
      <w:r w:rsidRPr="006658B5">
        <w:rPr>
          <w:rStyle w:val="Hyperlink"/>
          <w:b w:val="0"/>
          <w:color w:val="000000" w:themeColor="text1"/>
          <w:u w:val="none"/>
        </w:rPr>
        <w:t>VI</w:t>
      </w:r>
      <w:r>
        <w:rPr>
          <w:rStyle w:val="Hyperlink"/>
          <w:b w:val="0"/>
          <w:color w:val="000000" w:themeColor="text1"/>
          <w:u w:val="none"/>
        </w:rPr>
        <w:t>.</w:t>
      </w:r>
      <w:r w:rsidRPr="006658B5">
        <w:rPr>
          <w:rStyle w:val="Hyperlink"/>
          <w:b w:val="0"/>
          <w:color w:val="000000" w:themeColor="text1"/>
          <w:u w:val="none"/>
        </w:rPr>
        <w:t>C</w:t>
      </w:r>
      <w:r>
        <w:rPr>
          <w:rStyle w:val="Hyperlink"/>
          <w:b w:val="0"/>
          <w:color w:val="000000" w:themeColor="text1"/>
          <w:u w:val="none"/>
        </w:rPr>
        <w:t>.</w:t>
      </w:r>
      <w:r w:rsidRPr="006658B5">
        <w:rPr>
          <w:rStyle w:val="Hyperlink"/>
          <w:b w:val="0"/>
          <w:color w:val="000000" w:themeColor="text1"/>
          <w:u w:val="none"/>
        </w:rPr>
        <w:t>2. FTR Credit Requirement to reflect that activity resulting from settled FTR activity will be included as part of realized gains and losses.</w:t>
      </w:r>
      <w:r w:rsidRPr="00D71C55" w:rsidR="00D71C55">
        <w:rPr>
          <w:b w:val="0"/>
        </w:rPr>
        <w:t xml:space="preserve"> </w:t>
      </w:r>
      <w:r w:rsidRPr="008F22B6" w:rsidR="00D71C55">
        <w:rPr>
          <w:b w:val="0"/>
        </w:rPr>
        <w:t xml:space="preserve">Meeting materials and upcoming meeting dates are available on the </w:t>
      </w:r>
      <w:hyperlink r:id="rId6" w:history="1">
        <w:r w:rsidR="00D71C55">
          <w:rPr>
            <w:rStyle w:val="Hyperlink"/>
            <w:b w:val="0"/>
          </w:rPr>
          <w:t>GDECS website</w:t>
        </w:r>
      </w:hyperlink>
      <w:r w:rsidRPr="008F22B6" w:rsidR="00D71C55">
        <w:rPr>
          <w:b w:val="0"/>
        </w:rPr>
        <w:t>.</w:t>
      </w:r>
    </w:p>
    <w:p w:rsidR="00D71C55" w:rsidRPr="00D71C55" w:rsidP="00D71C55">
      <w:pPr>
        <w:pStyle w:val="MeetingDetails"/>
        <w:rPr>
          <w:b w:val="0"/>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April 25,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13, 2023</w:t>
            </w:r>
          </w:p>
        </w:tc>
        <w:tc>
          <w:tcPr>
            <w:tcW w:w="1767" w:type="dxa"/>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April 18, 2023</w:t>
            </w:r>
          </w:p>
        </w:tc>
      </w:tr>
      <w:tr w:rsidTr="00CC2445">
        <w:tblPrEx>
          <w:tblW w:w="9257" w:type="dxa"/>
          <w:tblLook w:val="04A0"/>
        </w:tblPrEx>
        <w:trPr>
          <w:trHeight w:val="331"/>
        </w:trPr>
        <w:tc>
          <w:tcPr>
            <w:tcW w:w="1595" w:type="dxa"/>
            <w:tcBorders>
              <w:top w:val="none" w:sz="0" w:space="0" w:color="auto"/>
              <w:left w:val="none" w:sz="0" w:space="0" w:color="auto"/>
              <w:bottom w:val="none" w:sz="0" w:space="0" w:color="auto"/>
            </w:tcBorders>
            <w:shd w:val="clear" w:color="auto" w:fill="E1F6FF"/>
            <w:vAlign w:val="center"/>
          </w:tcPr>
          <w:p w:rsidR="001622E2" w:rsidP="00531934">
            <w:pPr>
              <w:pStyle w:val="DisclaimerHeading"/>
              <w:spacing w:before="40" w:after="40" w:line="220" w:lineRule="exact"/>
              <w:rPr>
                <w:b w:val="0"/>
                <w:color w:val="auto"/>
                <w:sz w:val="18"/>
                <w:szCs w:val="18"/>
              </w:rPr>
            </w:pPr>
            <w:r>
              <w:rPr>
                <w:b w:val="0"/>
                <w:i w:val="0"/>
                <w:color w:val="auto"/>
                <w:sz w:val="18"/>
                <w:szCs w:val="18"/>
              </w:rPr>
              <w:t xml:space="preserve">May </w:t>
            </w:r>
            <w:r w:rsidR="00531934">
              <w:rPr>
                <w:b w:val="0"/>
                <w:i w:val="0"/>
                <w:color w:val="auto"/>
                <w:sz w:val="18"/>
                <w:szCs w:val="18"/>
              </w:rPr>
              <w:t>2</w:t>
            </w:r>
            <w:r>
              <w:rPr>
                <w:b w:val="0"/>
                <w:i w:val="0"/>
                <w:color w:val="auto"/>
                <w:sz w:val="18"/>
                <w:szCs w:val="18"/>
              </w:rPr>
              <w:t>3, 2023</w:t>
            </w:r>
          </w:p>
        </w:tc>
        <w:tc>
          <w:tcPr>
            <w:tcW w:w="983" w:type="dxa"/>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11</w:t>
            </w:r>
            <w:r>
              <w:rPr>
                <w:b w:val="0"/>
                <w:color w:val="auto"/>
                <w:sz w:val="18"/>
                <w:szCs w:val="18"/>
              </w:rPr>
              <w:t>, 2023</w:t>
            </w:r>
          </w:p>
        </w:tc>
        <w:tc>
          <w:tcPr>
            <w:tcW w:w="1767" w:type="dxa"/>
            <w:vAlign w:val="center"/>
          </w:tcPr>
          <w:p w:rsidR="001622E2" w:rsidRPr="00710B72" w:rsidP="00531934">
            <w:pPr>
              <w:pStyle w:val="DisclaimerHeading"/>
              <w:spacing w:before="40" w:after="40" w:line="220" w:lineRule="exact"/>
              <w:rPr>
                <w:b w:val="0"/>
                <w:color w:val="auto"/>
                <w:sz w:val="18"/>
                <w:szCs w:val="18"/>
              </w:rPr>
            </w:pPr>
            <w:r>
              <w:rPr>
                <w:b w:val="0"/>
                <w:color w:val="auto"/>
                <w:sz w:val="18"/>
                <w:szCs w:val="18"/>
              </w:rPr>
              <w:t xml:space="preserve">May </w:t>
            </w:r>
            <w:r w:rsidR="00531934">
              <w:rPr>
                <w:b w:val="0"/>
                <w:color w:val="auto"/>
                <w:sz w:val="18"/>
                <w:szCs w:val="18"/>
              </w:rPr>
              <w:t>16</w:t>
            </w:r>
            <w:r>
              <w:rPr>
                <w:b w:val="0"/>
                <w:color w:val="auto"/>
                <w:sz w:val="18"/>
                <w:szCs w:val="18"/>
              </w:rPr>
              <w:t>, 2023</w:t>
            </w:r>
          </w:p>
        </w:tc>
      </w:tr>
      <w:tr w:rsidTr="00CC2445">
        <w:tblPrEx>
          <w:tblW w:w="9257" w:type="dxa"/>
          <w:tblLook w:val="04A0"/>
        </w:tblPrEx>
        <w:trPr>
          <w:trHeight w:val="331"/>
        </w:trPr>
        <w:tc>
          <w:tcPr>
            <w:tcW w:w="1595" w:type="dxa"/>
            <w:tcBorders>
              <w:top w:val="none" w:sz="0" w:space="0" w:color="auto"/>
              <w:left w:val="none" w:sz="0" w:space="0" w:color="auto"/>
              <w:bottom w:val="single" w:sz="4" w:space="0" w:color="auto"/>
            </w:tcBorders>
            <w:shd w:val="clear" w:color="auto" w:fill="E1F6FF"/>
            <w:vAlign w:val="center"/>
          </w:tcPr>
          <w:p w:rsidR="001622E2" w:rsidP="001622E2">
            <w:pPr>
              <w:pStyle w:val="DisclaimerHeading"/>
              <w:spacing w:before="40" w:after="40" w:line="220" w:lineRule="exact"/>
              <w:rPr>
                <w:b w:val="0"/>
                <w:color w:val="auto"/>
                <w:sz w:val="18"/>
                <w:szCs w:val="18"/>
              </w:rPr>
            </w:pPr>
            <w:r>
              <w:rPr>
                <w:b w:val="0"/>
                <w:i w:val="0"/>
                <w:color w:val="auto"/>
                <w:sz w:val="18"/>
                <w:szCs w:val="18"/>
              </w:rPr>
              <w:t>June 21, 2023</w:t>
            </w:r>
          </w:p>
        </w:tc>
        <w:tc>
          <w:tcPr>
            <w:tcW w:w="983" w:type="dxa"/>
            <w:tcBorders>
              <w:bottom w:val="single" w:sz="4" w:space="0" w:color="auto"/>
            </w:tcBorders>
            <w:vAlign w:val="center"/>
          </w:tcPr>
          <w:p w:rsidR="001622E2" w:rsidRPr="00F00E21" w:rsidP="001622E2">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bottom w:val="single" w:sz="4" w:space="0" w:color="auto"/>
            </w:tcBorders>
            <w:vAlign w:val="center"/>
          </w:tcPr>
          <w:p w:rsidR="001622E2" w:rsidP="001622E2">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9</w:t>
            </w:r>
            <w:r>
              <w:rPr>
                <w:b w:val="0"/>
                <w:color w:val="auto"/>
                <w:sz w:val="18"/>
                <w:szCs w:val="18"/>
              </w:rPr>
              <w:t>, 2023</w:t>
            </w:r>
          </w:p>
        </w:tc>
        <w:tc>
          <w:tcPr>
            <w:tcW w:w="1767" w:type="dxa"/>
            <w:tcBorders>
              <w:bottom w:val="single" w:sz="4" w:space="0" w:color="auto"/>
            </w:tcBorders>
            <w:vAlign w:val="center"/>
          </w:tcPr>
          <w:p w:rsidR="001622E2" w:rsidRPr="00710B72" w:rsidP="001622E2">
            <w:pPr>
              <w:pStyle w:val="DisclaimerHeading"/>
              <w:spacing w:before="40" w:after="40" w:line="220" w:lineRule="exact"/>
              <w:rPr>
                <w:b w:val="0"/>
                <w:color w:val="auto"/>
                <w:sz w:val="18"/>
                <w:szCs w:val="18"/>
              </w:rPr>
            </w:pPr>
            <w:r>
              <w:rPr>
                <w:b w:val="0"/>
                <w:color w:val="auto"/>
                <w:sz w:val="18"/>
                <w:szCs w:val="18"/>
              </w:rPr>
              <w:t>June 14,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July 25,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13,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July 19,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August 22,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CC2445">
            <w:pPr>
              <w:pStyle w:val="DisclaimerHeading"/>
              <w:spacing w:before="40" w:after="40" w:line="220" w:lineRule="exact"/>
              <w:rPr>
                <w:b w:val="0"/>
                <w:color w:val="auto"/>
                <w:sz w:val="18"/>
                <w:szCs w:val="18"/>
              </w:rPr>
            </w:pPr>
            <w:r>
              <w:rPr>
                <w:b w:val="0"/>
                <w:color w:val="auto"/>
                <w:sz w:val="18"/>
                <w:szCs w:val="18"/>
              </w:rPr>
              <w:t>August</w:t>
            </w:r>
            <w:r w:rsidR="00CC2445">
              <w:rPr>
                <w:b w:val="0"/>
                <w:color w:val="auto"/>
                <w:sz w:val="18"/>
                <w:szCs w:val="18"/>
              </w:rPr>
              <w:t xml:space="preserve"> 10</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August </w:t>
            </w:r>
            <w:r w:rsidR="00CC2445">
              <w:rPr>
                <w:b w:val="0"/>
                <w:color w:val="auto"/>
                <w:sz w:val="18"/>
                <w:szCs w:val="18"/>
              </w:rPr>
              <w:t>15</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8B75E6" w:rsidRPr="00B62597" w:rsidP="008B75E6">
      <w:pPr>
        <w:pStyle w:val="Author"/>
      </w:pPr>
    </w:p>
    <w:p w:rsidR="008B75E6">
      <w:pPr>
        <w:rPr>
          <w:rFonts w:ascii="Arial Narrow" w:eastAsia="Times New Roman" w:hAnsi="Arial Narrow" w:cs="Times New Roman"/>
          <w:b/>
          <w:color w:val="013C59"/>
          <w:sz w:val="16"/>
          <w:szCs w:val="16"/>
        </w:rPr>
      </w:pPr>
      <w:r>
        <w:br w:type="page"/>
      </w: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Participant Identification in Webex:</w:t>
      </w:r>
    </w:p>
    <w:p w:rsidR="008B75E6" w:rsidP="008B75E6">
      <w:pPr>
        <w:pStyle w:val="DisclaimerBodyCopy"/>
      </w:pPr>
      <w:r>
        <w:t>When logging into the Webex desktop client, please enter your real first and last name as well as a valid email address. Be sure to select the “call me” option.</w:t>
      </w:r>
    </w:p>
    <w:p w:rsidR="008B75E6" w:rsidP="008B75E6">
      <w:pPr>
        <w:pStyle w:val="DisclaimerBodyCopy"/>
      </w:pPr>
      <w:r>
        <w:t>PJM support staff continuously monitors Webex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Participant Use of Webex Chat:</w:t>
      </w:r>
    </w:p>
    <w:p w:rsidR="008B75E6" w:rsidP="008B75E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8B75E6" w:rsidRPr="009C15C4" w:rsidP="008B75E6"/>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102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B171D">
      <w:t xml:space="preserve">March </w:t>
    </w:r>
    <w:r w:rsidRPr="00416DCB" w:rsidR="004B171D">
      <w:rPr>
        <w:strike/>
        <w:color w:val="FF0000"/>
      </w:rPr>
      <w:t>14</w:t>
    </w:r>
    <w:r w:rsidRPr="00416DCB" w:rsidR="00416DCB">
      <w:rPr>
        <w:color w:val="FF0000"/>
      </w:rPr>
      <w:t>16</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10057"/>
    <w:rsid w:val="000232DF"/>
    <w:rsid w:val="00027F49"/>
    <w:rsid w:val="000333FF"/>
    <w:rsid w:val="0004123F"/>
    <w:rsid w:val="0006798D"/>
    <w:rsid w:val="0007009E"/>
    <w:rsid w:val="00092135"/>
    <w:rsid w:val="000B1621"/>
    <w:rsid w:val="00101295"/>
    <w:rsid w:val="00117AF9"/>
    <w:rsid w:val="00121F58"/>
    <w:rsid w:val="001622E2"/>
    <w:rsid w:val="001678E8"/>
    <w:rsid w:val="00170E02"/>
    <w:rsid w:val="001B2242"/>
    <w:rsid w:val="001C0CC0"/>
    <w:rsid w:val="001D11FB"/>
    <w:rsid w:val="001D3B68"/>
    <w:rsid w:val="002028B9"/>
    <w:rsid w:val="002113BD"/>
    <w:rsid w:val="0023590C"/>
    <w:rsid w:val="00241383"/>
    <w:rsid w:val="0025139E"/>
    <w:rsid w:val="002A0805"/>
    <w:rsid w:val="002B2F98"/>
    <w:rsid w:val="002C6057"/>
    <w:rsid w:val="002C6C64"/>
    <w:rsid w:val="002C7502"/>
    <w:rsid w:val="002F3F88"/>
    <w:rsid w:val="00305238"/>
    <w:rsid w:val="00317A81"/>
    <w:rsid w:val="003251CE"/>
    <w:rsid w:val="00337321"/>
    <w:rsid w:val="0034012E"/>
    <w:rsid w:val="00394850"/>
    <w:rsid w:val="003B55E1"/>
    <w:rsid w:val="003C17E2"/>
    <w:rsid w:val="003C3320"/>
    <w:rsid w:val="003D7E5C"/>
    <w:rsid w:val="003E7A73"/>
    <w:rsid w:val="003F6023"/>
    <w:rsid w:val="00404FFB"/>
    <w:rsid w:val="00416DCB"/>
    <w:rsid w:val="0042029E"/>
    <w:rsid w:val="00427E2F"/>
    <w:rsid w:val="0046043F"/>
    <w:rsid w:val="0046685E"/>
    <w:rsid w:val="00491490"/>
    <w:rsid w:val="00494494"/>
    <w:rsid w:val="004969FA"/>
    <w:rsid w:val="004B171D"/>
    <w:rsid w:val="00527104"/>
    <w:rsid w:val="005274F1"/>
    <w:rsid w:val="00527E7B"/>
    <w:rsid w:val="00531934"/>
    <w:rsid w:val="005508A4"/>
    <w:rsid w:val="00564DEE"/>
    <w:rsid w:val="0057441E"/>
    <w:rsid w:val="005A5D0D"/>
    <w:rsid w:val="005B4839"/>
    <w:rsid w:val="005B753A"/>
    <w:rsid w:val="005D6D05"/>
    <w:rsid w:val="006024A0"/>
    <w:rsid w:val="00602967"/>
    <w:rsid w:val="00606F11"/>
    <w:rsid w:val="0061694A"/>
    <w:rsid w:val="006221A5"/>
    <w:rsid w:val="00633D10"/>
    <w:rsid w:val="00656947"/>
    <w:rsid w:val="00660FD6"/>
    <w:rsid w:val="006658B5"/>
    <w:rsid w:val="00670A40"/>
    <w:rsid w:val="00687AF5"/>
    <w:rsid w:val="00691169"/>
    <w:rsid w:val="00696332"/>
    <w:rsid w:val="006A16C9"/>
    <w:rsid w:val="006B6ACB"/>
    <w:rsid w:val="006C55A6"/>
    <w:rsid w:val="006C738F"/>
    <w:rsid w:val="006D0604"/>
    <w:rsid w:val="006D2088"/>
    <w:rsid w:val="006F7A52"/>
    <w:rsid w:val="00710B72"/>
    <w:rsid w:val="00711249"/>
    <w:rsid w:val="00711E89"/>
    <w:rsid w:val="00712CAA"/>
    <w:rsid w:val="00716A8B"/>
    <w:rsid w:val="00730F76"/>
    <w:rsid w:val="00744A45"/>
    <w:rsid w:val="00754C6D"/>
    <w:rsid w:val="00755096"/>
    <w:rsid w:val="007703B4"/>
    <w:rsid w:val="00781022"/>
    <w:rsid w:val="00783F96"/>
    <w:rsid w:val="007A34A3"/>
    <w:rsid w:val="007B6204"/>
    <w:rsid w:val="007C2954"/>
    <w:rsid w:val="007D4F70"/>
    <w:rsid w:val="007E0C76"/>
    <w:rsid w:val="007E24CE"/>
    <w:rsid w:val="007E7CAB"/>
    <w:rsid w:val="0083384F"/>
    <w:rsid w:val="00837B12"/>
    <w:rsid w:val="00841282"/>
    <w:rsid w:val="00852081"/>
    <w:rsid w:val="008552A3"/>
    <w:rsid w:val="0088020D"/>
    <w:rsid w:val="00882652"/>
    <w:rsid w:val="008909E5"/>
    <w:rsid w:val="00893007"/>
    <w:rsid w:val="008B75E6"/>
    <w:rsid w:val="008D381D"/>
    <w:rsid w:val="008F22B6"/>
    <w:rsid w:val="00903F2F"/>
    <w:rsid w:val="00911E62"/>
    <w:rsid w:val="0091418D"/>
    <w:rsid w:val="00916F29"/>
    <w:rsid w:val="00917386"/>
    <w:rsid w:val="0095194C"/>
    <w:rsid w:val="009837D1"/>
    <w:rsid w:val="00983E42"/>
    <w:rsid w:val="00991528"/>
    <w:rsid w:val="009A5430"/>
    <w:rsid w:val="009A550B"/>
    <w:rsid w:val="009C15C4"/>
    <w:rsid w:val="009C3C4B"/>
    <w:rsid w:val="009D162B"/>
    <w:rsid w:val="009D506C"/>
    <w:rsid w:val="009D5781"/>
    <w:rsid w:val="009F2C2D"/>
    <w:rsid w:val="009F3EDE"/>
    <w:rsid w:val="009F53F9"/>
    <w:rsid w:val="00A05391"/>
    <w:rsid w:val="00A12BCB"/>
    <w:rsid w:val="00A16AB9"/>
    <w:rsid w:val="00A16E12"/>
    <w:rsid w:val="00A317A9"/>
    <w:rsid w:val="00A41149"/>
    <w:rsid w:val="00A56D57"/>
    <w:rsid w:val="00A81FF5"/>
    <w:rsid w:val="00A8474A"/>
    <w:rsid w:val="00A86FB6"/>
    <w:rsid w:val="00AA5D3C"/>
    <w:rsid w:val="00AB014D"/>
    <w:rsid w:val="00AC2247"/>
    <w:rsid w:val="00AC2339"/>
    <w:rsid w:val="00AF0B0B"/>
    <w:rsid w:val="00B16D95"/>
    <w:rsid w:val="00B20316"/>
    <w:rsid w:val="00B34E3C"/>
    <w:rsid w:val="00B62597"/>
    <w:rsid w:val="00B64C37"/>
    <w:rsid w:val="00B67EC4"/>
    <w:rsid w:val="00B94AAA"/>
    <w:rsid w:val="00BA2F5C"/>
    <w:rsid w:val="00BA6146"/>
    <w:rsid w:val="00BB531B"/>
    <w:rsid w:val="00BB6921"/>
    <w:rsid w:val="00BF08E3"/>
    <w:rsid w:val="00BF331B"/>
    <w:rsid w:val="00C10A93"/>
    <w:rsid w:val="00C21D15"/>
    <w:rsid w:val="00C439EC"/>
    <w:rsid w:val="00C4539F"/>
    <w:rsid w:val="00C5307B"/>
    <w:rsid w:val="00C679BD"/>
    <w:rsid w:val="00C701B4"/>
    <w:rsid w:val="00C72168"/>
    <w:rsid w:val="00C757F4"/>
    <w:rsid w:val="00C75A9D"/>
    <w:rsid w:val="00CA49B9"/>
    <w:rsid w:val="00CB19DE"/>
    <w:rsid w:val="00CB475B"/>
    <w:rsid w:val="00CC1B47"/>
    <w:rsid w:val="00CC2445"/>
    <w:rsid w:val="00CD23A3"/>
    <w:rsid w:val="00CE09BA"/>
    <w:rsid w:val="00D060CC"/>
    <w:rsid w:val="00D06EC8"/>
    <w:rsid w:val="00D136EA"/>
    <w:rsid w:val="00D251ED"/>
    <w:rsid w:val="00D535F5"/>
    <w:rsid w:val="00D63AFC"/>
    <w:rsid w:val="00D71C55"/>
    <w:rsid w:val="00D831E4"/>
    <w:rsid w:val="00D83526"/>
    <w:rsid w:val="00D95949"/>
    <w:rsid w:val="00DA23DE"/>
    <w:rsid w:val="00DA5B2B"/>
    <w:rsid w:val="00DB29E9"/>
    <w:rsid w:val="00DC21F6"/>
    <w:rsid w:val="00DC7D14"/>
    <w:rsid w:val="00DE34CF"/>
    <w:rsid w:val="00DE3DA1"/>
    <w:rsid w:val="00DE701B"/>
    <w:rsid w:val="00DF1112"/>
    <w:rsid w:val="00E06306"/>
    <w:rsid w:val="00E14637"/>
    <w:rsid w:val="00E1605D"/>
    <w:rsid w:val="00E32B6B"/>
    <w:rsid w:val="00E5387A"/>
    <w:rsid w:val="00E55E84"/>
    <w:rsid w:val="00E64DFB"/>
    <w:rsid w:val="00E87E77"/>
    <w:rsid w:val="00EB1BF3"/>
    <w:rsid w:val="00EB68B0"/>
    <w:rsid w:val="00ED1E64"/>
    <w:rsid w:val="00EF202F"/>
    <w:rsid w:val="00F00E21"/>
    <w:rsid w:val="00F025CC"/>
    <w:rsid w:val="00F257E5"/>
    <w:rsid w:val="00F27B1B"/>
    <w:rsid w:val="00F4190F"/>
    <w:rsid w:val="00F5077C"/>
    <w:rsid w:val="00F63E60"/>
    <w:rsid w:val="00F65C7B"/>
    <w:rsid w:val="00F80B43"/>
    <w:rsid w:val="00F940D8"/>
    <w:rsid w:val="00FB0E92"/>
    <w:rsid w:val="00FB1739"/>
    <w:rsid w:val="00FB76AE"/>
    <w:rsid w:val="00FC2333"/>
    <w:rsid w:val="00FC2B9A"/>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92CF54"/>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741d6357-6641-4749-b5a0-bd05bea612c5" TargetMode="External" /><Relationship Id="rId5" Type="http://schemas.openxmlformats.org/officeDocument/2006/relationships/hyperlink" Target="https://www.pjm.com/committees-and-groups/committees/oc" TargetMode="External" /><Relationship Id="rId6" Type="http://schemas.openxmlformats.org/officeDocument/2006/relationships/hyperlink" Target="https://pjm.com/committees-and-groups/subcommittees/gdecs"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