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7EA0" w:rsidRPr="00B62597" w:rsidP="00857EA0">
      <w:pPr>
        <w:pStyle w:val="MeetingDetails"/>
      </w:pPr>
      <w:r>
        <w:t>Markets &amp; Reliability Committees</w:t>
      </w:r>
      <w:bookmarkStart w:id="0" w:name="_GoBack"/>
      <w:bookmarkEnd w:id="0"/>
    </w:p>
    <w:p w:rsidR="00857EA0" w:rsidRPr="00B62597" w:rsidP="00857EA0">
      <w:pPr>
        <w:pStyle w:val="MeetingDetails"/>
      </w:pPr>
      <w:r>
        <w:t>PJM Conference and Training Center, Audubon, PA</w:t>
      </w:r>
      <w:r w:rsidRPr="004C6E71">
        <w:t xml:space="preserve"> </w:t>
      </w:r>
      <w:r>
        <w:t>/ WebEx</w:t>
      </w:r>
    </w:p>
    <w:p w:rsidR="00857EA0" w:rsidRPr="001B4664" w:rsidP="00857EA0">
      <w:pPr>
        <w:pStyle w:val="MeetingDetails"/>
      </w:pPr>
      <w:r>
        <w:t>January 24</w:t>
      </w:r>
      <w:r w:rsidRPr="001B4664">
        <w:t>, 202</w:t>
      </w:r>
      <w:r>
        <w:t>4</w:t>
      </w:r>
    </w:p>
    <w:p w:rsidR="00857EA0" w:rsidP="00857EA0">
      <w:pPr>
        <w:pStyle w:val="MeetingDetails"/>
      </w:pPr>
      <w:r w:rsidRPr="001B4664">
        <w:t>9:</w:t>
      </w:r>
      <w:r w:rsidRPr="00A82E9D">
        <w:t>00</w:t>
      </w:r>
      <w:r w:rsidRPr="00A82E9D">
        <w:rPr>
          <w:color w:val="FF0000"/>
        </w:rPr>
        <w:t xml:space="preserve"> </w:t>
      </w:r>
      <w:r w:rsidRPr="00A82E9D">
        <w:t>a.m. –</w:t>
      </w:r>
      <w:r w:rsidRPr="00A82E9D" w:rsidR="00A82E9D">
        <w:t xml:space="preserve"> </w:t>
      </w:r>
      <w:r w:rsidRPr="009C70BA" w:rsidR="00A82E9D">
        <w:rPr>
          <w:strike/>
          <w:color w:val="FF0000"/>
        </w:rPr>
        <w:t>9:40</w:t>
      </w:r>
      <w:r w:rsidRPr="009C70BA" w:rsidR="00A82E9D">
        <w:rPr>
          <w:color w:val="FF0000"/>
        </w:rPr>
        <w:t xml:space="preserve"> </w:t>
      </w:r>
      <w:r w:rsidRPr="009C70BA" w:rsidR="009C70BA">
        <w:rPr>
          <w:color w:val="FF0000"/>
        </w:rPr>
        <w:t xml:space="preserve">10:00 </w:t>
      </w:r>
      <w:r w:rsidRPr="00A82E9D" w:rsidR="00A82E9D">
        <w:t>a</w:t>
      </w:r>
      <w:r w:rsidRPr="00A82E9D">
        <w:t>.m.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857EA0">
        <w:t>9:00-9:05</w:t>
      </w:r>
      <w:r w:rsidRPr="00527104">
        <w:t>)</w:t>
      </w:r>
    </w:p>
    <w:bookmarkEnd w:id="1"/>
    <w:bookmarkEnd w:id="2"/>
    <w:p w:rsidR="00B62597" w:rsidP="00857EA0">
      <w:pPr>
        <w:pStyle w:val="SecondaryHeading-Numbered"/>
        <w:numPr>
          <w:ilvl w:val="0"/>
          <w:numId w:val="0"/>
        </w:numPr>
        <w:spacing w:before="120"/>
        <w:ind w:left="360"/>
        <w:rPr>
          <w:b w:val="0"/>
          <w:szCs w:val="24"/>
        </w:rPr>
      </w:pPr>
      <w:r w:rsidRPr="00857EA0">
        <w:rPr>
          <w:b w:val="0"/>
          <w:szCs w:val="24"/>
        </w:rPr>
        <w:t xml:space="preserve">Welcome, announcements and Anti-trust, Code of Conduct, and Public Meetings/Media Participation – </w:t>
      </w:r>
      <w:r>
        <w:rPr>
          <w:b w:val="0"/>
          <w:szCs w:val="24"/>
        </w:rPr>
        <w:t>Lisa Drauschak</w:t>
      </w:r>
      <w:r w:rsidRPr="00857EA0">
        <w:rPr>
          <w:b w:val="0"/>
          <w:szCs w:val="24"/>
        </w:rPr>
        <w:t xml:space="preserve"> and Dave Anders  </w:t>
      </w:r>
    </w:p>
    <w:p w:rsidR="00857EA0" w:rsidRPr="00DB29E9" w:rsidP="00857EA0">
      <w:pPr>
        <w:pStyle w:val="PrimaryHeading"/>
        <w:spacing w:before="120" w:after="200"/>
      </w:pPr>
      <w:r>
        <w:t>Consent Agenda (9:05-9:10)</w:t>
      </w:r>
    </w:p>
    <w:p w:rsidR="00857EA0" w:rsidRPr="00857EA0" w:rsidP="00857EA0">
      <w:pPr>
        <w:pStyle w:val="SecondaryHeading-Numbered"/>
        <w:numPr>
          <w:ilvl w:val="0"/>
          <w:numId w:val="14"/>
        </w:numPr>
        <w:spacing w:before="120"/>
        <w:rPr>
          <w:szCs w:val="24"/>
        </w:rPr>
      </w:pPr>
      <w:r w:rsidRPr="00A05D00">
        <w:rPr>
          <w:szCs w:val="24"/>
          <w:u w:val="single"/>
        </w:rPr>
        <w:t>Approve</w:t>
      </w:r>
      <w:r w:rsidRPr="00E01E4B">
        <w:rPr>
          <w:szCs w:val="24"/>
        </w:rPr>
        <w:t xml:space="preserve"> </w:t>
      </w:r>
      <w:r w:rsidRPr="00857EA0">
        <w:rPr>
          <w:b w:val="0"/>
          <w:szCs w:val="24"/>
        </w:rPr>
        <w:t xml:space="preserve">minutes of the </w:t>
      </w:r>
      <w:r>
        <w:rPr>
          <w:b w:val="0"/>
        </w:rPr>
        <w:t>December 20</w:t>
      </w:r>
      <w:r w:rsidRPr="00857EA0">
        <w:rPr>
          <w:b w:val="0"/>
        </w:rPr>
        <w:t>, 2023</w:t>
      </w:r>
      <w:r w:rsidRPr="00857EA0">
        <w:rPr>
          <w:b w:val="0"/>
          <w:szCs w:val="24"/>
        </w:rPr>
        <w:t xml:space="preserve"> meeting of the Markets and Reliability Committee</w:t>
      </w:r>
      <w:r>
        <w:rPr>
          <w:szCs w:val="24"/>
        </w:rPr>
        <w:t>.</w:t>
      </w:r>
    </w:p>
    <w:p w:rsidR="001D3B68" w:rsidRPr="00DB29E9" w:rsidP="007C2954">
      <w:pPr>
        <w:pStyle w:val="PrimaryHeading"/>
      </w:pPr>
      <w:r>
        <w:t xml:space="preserve">Endorsements </w:t>
      </w:r>
    </w:p>
    <w:p w:rsidR="00B62597" w:rsidRPr="00857EA0" w:rsidP="00857EA0">
      <w:pPr>
        <w:pStyle w:val="SecondaryHeading-Numbered"/>
        <w:numPr>
          <w:ilvl w:val="0"/>
          <w:numId w:val="0"/>
        </w:numPr>
        <w:ind w:left="360"/>
        <w:rPr>
          <w:b w:val="0"/>
        </w:rPr>
      </w:pPr>
      <w:r w:rsidRPr="00857EA0">
        <w:rPr>
          <w:b w:val="0"/>
        </w:rPr>
        <w:t>None</w:t>
      </w:r>
    </w:p>
    <w:p w:rsidR="00AD78F1" w:rsidRPr="00A82E9D" w:rsidP="00A82E9D">
      <w:pPr>
        <w:pStyle w:val="PrimaryHeading"/>
      </w:pPr>
      <w:r>
        <w:t>First Readings</w:t>
      </w:r>
      <w:r w:rsidR="00606F11">
        <w:t xml:space="preserve"> </w:t>
      </w:r>
      <w:r w:rsidR="001D3B68">
        <w:t>(</w:t>
      </w:r>
      <w:r>
        <w:t>9:10-</w:t>
      </w:r>
      <w:r w:rsidR="00A82E9D">
        <w:t>9:40</w:t>
      </w:r>
      <w:r w:rsidRPr="00DB29E9" w:rsidR="001D3B68">
        <w:t>)</w:t>
      </w:r>
    </w:p>
    <w:p w:rsidR="00AD78F1" w:rsidRPr="00AD78F1" w:rsidP="001B2242">
      <w:pPr>
        <w:pStyle w:val="SecondaryHeading-Numbered"/>
        <w:rPr>
          <w:b w:val="0"/>
          <w:u w:val="single"/>
        </w:rPr>
      </w:pPr>
      <w:r w:rsidRPr="00AD78F1">
        <w:rPr>
          <w:b w:val="0"/>
          <w:u w:val="single"/>
        </w:rPr>
        <w:t>Manuals (</w:t>
      </w:r>
      <w:r w:rsidR="00A82E9D">
        <w:rPr>
          <w:b w:val="0"/>
          <w:u w:val="single"/>
        </w:rPr>
        <w:t>9:10-9:40</w:t>
      </w:r>
      <w:r w:rsidRPr="00AD78F1">
        <w:rPr>
          <w:b w:val="0"/>
          <w:u w:val="single"/>
        </w:rPr>
        <w:t xml:space="preserve">) </w:t>
      </w:r>
    </w:p>
    <w:p w:rsidR="00A82E9D" w:rsidP="00A82E9D">
      <w:pPr>
        <w:pStyle w:val="SecondaryHeading-Numbered"/>
        <w:numPr>
          <w:ilvl w:val="1"/>
          <w:numId w:val="11"/>
        </w:numPr>
        <w:spacing w:before="120"/>
        <w:ind w:left="720" w:hanging="360"/>
        <w:rPr>
          <w:b w:val="0"/>
        </w:rPr>
      </w:pPr>
      <w:r>
        <w:rPr>
          <w:b w:val="0"/>
        </w:rPr>
        <w:t xml:space="preserve">Eliseo Carrasco will review proposed revisions to Manual 03A: Energy Management System (EMS) Model Updates and Quality Assurance (QA) to align with </w:t>
      </w:r>
      <w:r w:rsidRPr="00A82E9D">
        <w:rPr>
          <w:b w:val="0"/>
        </w:rPr>
        <w:t>NERC’s Bulk Electric System (BES) definition. The Committee will be asked to endorse the Ma</w:t>
      </w:r>
      <w:r>
        <w:rPr>
          <w:b w:val="0"/>
        </w:rPr>
        <w:t xml:space="preserve">nual revisions at its next meeting.  </w:t>
      </w:r>
    </w:p>
    <w:p w:rsidR="001B2242" w:rsidP="008F499A">
      <w:pPr>
        <w:pStyle w:val="SecondaryHeading-Numbered"/>
        <w:numPr>
          <w:ilvl w:val="1"/>
          <w:numId w:val="11"/>
        </w:numPr>
        <w:ind w:left="720" w:hanging="360"/>
        <w:rPr>
          <w:b w:val="0"/>
        </w:rPr>
      </w:pPr>
      <w:r>
        <w:rPr>
          <w:b w:val="0"/>
        </w:rPr>
        <w:t xml:space="preserve">Lauren Strella Wahba </w:t>
      </w:r>
      <w:r w:rsidRPr="00AD78F1">
        <w:rPr>
          <w:b w:val="0"/>
        </w:rPr>
        <w:t xml:space="preserve">will review </w:t>
      </w:r>
      <w:r>
        <w:rPr>
          <w:b w:val="0"/>
        </w:rPr>
        <w:t xml:space="preserve">conforming </w:t>
      </w:r>
      <w:r w:rsidRPr="00AD78F1">
        <w:rPr>
          <w:b w:val="0"/>
        </w:rPr>
        <w:t xml:space="preserve">revisions to Manual 11: Energy &amp; Ancillary Services Market Operations resulting from </w:t>
      </w:r>
      <w:r>
        <w:rPr>
          <w:b w:val="0"/>
        </w:rPr>
        <w:t xml:space="preserve">FERC </w:t>
      </w:r>
      <w:r w:rsidRPr="00AD78F1">
        <w:rPr>
          <w:b w:val="0"/>
        </w:rPr>
        <w:t xml:space="preserve">Docket No. EL21-78-000 on Real-time Values. The Committee will be asked to endorse the </w:t>
      </w:r>
      <w:r w:rsidR="00A82E9D">
        <w:rPr>
          <w:b w:val="0"/>
        </w:rPr>
        <w:t xml:space="preserve">Manual </w:t>
      </w:r>
      <w:r w:rsidRPr="00AD78F1">
        <w:rPr>
          <w:b w:val="0"/>
        </w:rPr>
        <w:t>revisions at its next meeting.</w:t>
      </w:r>
    </w:p>
    <w:p w:rsidR="00AD78F1" w:rsidP="00D25CD4">
      <w:pPr>
        <w:pStyle w:val="SecondaryHeading-Numbered"/>
        <w:numPr>
          <w:ilvl w:val="1"/>
          <w:numId w:val="11"/>
        </w:numPr>
        <w:ind w:left="720" w:hanging="360"/>
        <w:rPr>
          <w:b w:val="0"/>
        </w:rPr>
      </w:pPr>
      <w:r w:rsidRPr="00A82E9D">
        <w:rPr>
          <w:b w:val="0"/>
        </w:rPr>
        <w:t xml:space="preserve">Liem Hoang will review proposed revisions to Manual 38: Operations Planning resulting from its periodic review. The Committee will be asked to endorse the Manual revisions at its next meeting.  </w:t>
      </w:r>
    </w:p>
    <w:p w:rsidR="00A82E9D" w:rsidP="00D25CD4">
      <w:pPr>
        <w:pStyle w:val="SecondaryHeading-Numbered"/>
        <w:numPr>
          <w:ilvl w:val="1"/>
          <w:numId w:val="11"/>
        </w:numPr>
        <w:ind w:left="720" w:hanging="360"/>
        <w:rPr>
          <w:b w:val="0"/>
        </w:rPr>
      </w:pPr>
      <w:r>
        <w:rPr>
          <w:b w:val="0"/>
        </w:rPr>
        <w:t xml:space="preserve">Ben Miller will review proposed revisions to Manual 40: </w:t>
      </w:r>
      <w:r w:rsidRPr="00A82E9D">
        <w:rPr>
          <w:b w:val="0"/>
        </w:rPr>
        <w:t>Training and Certification Requirements</w:t>
      </w:r>
      <w:r>
        <w:rPr>
          <w:b w:val="0"/>
        </w:rPr>
        <w:t xml:space="preserve"> resulting from its periodic review. The Committee will be asked to endorse the Manual revisions at its next meeting.  </w:t>
      </w:r>
    </w:p>
    <w:p w:rsidR="00C22988" w:rsidRPr="00C22988" w:rsidP="00C22988">
      <w:pPr>
        <w:pStyle w:val="PrimaryHeading"/>
        <w:rPr>
          <w:color w:val="FF0000"/>
        </w:rPr>
      </w:pPr>
      <w:r w:rsidRPr="00C22988">
        <w:rPr>
          <w:color w:val="FF0000"/>
        </w:rPr>
        <w:t xml:space="preserve">Informational Report (9:40-10:00)  </w:t>
      </w:r>
    </w:p>
    <w:p w:rsidR="00C22988" w:rsidRPr="009C70BA" w:rsidP="009C70BA">
      <w:pPr>
        <w:pStyle w:val="ListSubhead1"/>
        <w:rPr>
          <w:b w:val="0"/>
          <w:color w:val="FF0000"/>
          <w:u w:val="single"/>
        </w:rPr>
      </w:pPr>
      <w:r w:rsidRPr="009C70BA">
        <w:rPr>
          <w:b w:val="0"/>
          <w:color w:val="FF0000"/>
          <w:u w:val="single"/>
        </w:rPr>
        <w:t xml:space="preserve">Winter Storm Gerri Review (9:40-10:00) </w:t>
      </w:r>
    </w:p>
    <w:p w:rsidR="00C22988" w:rsidRPr="00C22988" w:rsidP="009C70BA">
      <w:pPr>
        <w:pStyle w:val="ListSubhead1"/>
        <w:numPr>
          <w:ilvl w:val="0"/>
          <w:numId w:val="0"/>
        </w:numPr>
        <w:ind w:left="720" w:hanging="360"/>
        <w:rPr>
          <w:color w:val="FF0000"/>
        </w:rPr>
      </w:pPr>
      <w:r>
        <w:rPr>
          <w:b w:val="0"/>
          <w:color w:val="FF0000"/>
        </w:rPr>
        <w:t xml:space="preserve">David Souder and Brian Chmielewski will provide an overview of the recent Winter Storm Gerri.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A82E9D">
            <w:pPr>
              <w:pStyle w:val="PrimaryHeading"/>
              <w:spacing w:after="0"/>
              <w:rPr>
                <w:b/>
              </w:rPr>
            </w:pPr>
            <w:r w:rsidRPr="0095194C">
              <w:rPr>
                <w:b/>
              </w:rPr>
              <w:t>Future Agenda Items (</w:t>
            </w:r>
            <w:r w:rsidRPr="009C70BA" w:rsidR="00A82E9D">
              <w:rPr>
                <w:b/>
                <w:strike/>
                <w:color w:val="FF0000"/>
              </w:rPr>
              <w:t>9:40</w:t>
            </w:r>
            <w:r w:rsidR="009C70BA">
              <w:rPr>
                <w:b/>
              </w:rPr>
              <w:t xml:space="preserve"> </w:t>
            </w:r>
            <w:r w:rsidRPr="009C70BA" w:rsidR="009C70BA">
              <w:rPr>
                <w:b/>
                <w:color w:val="FF0000"/>
              </w:rPr>
              <w:t>10:00</w:t>
            </w:r>
            <w:r w:rsidRPr="0095194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57EA0" w:rsidP="00857EA0">
            <w:pPr>
              <w:pStyle w:val="AttendeesList"/>
              <w:rPr>
                <w:b w:val="0"/>
                <w:bCs w:val="0"/>
              </w:rPr>
            </w:pPr>
          </w:p>
          <w:p w:rsidR="003C3320" w:rsidP="009D7613">
            <w:pPr>
              <w:pStyle w:val="AttendeesList"/>
            </w:pPr>
          </w:p>
        </w:tc>
      </w:tr>
    </w:tbl>
    <w:p w:rsidR="007642DD">
      <w:pPr>
        <w:rPr>
          <w:rFonts w:ascii="Arial Narrow" w:eastAsia="Times New Roman" w:hAnsi="Arial Narrow" w:cs="Times New Roman"/>
          <w:sz w:val="20"/>
          <w:szCs w:val="20"/>
        </w:rPr>
      </w:pP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604"/>
      </w:tblGrid>
      <w:tr w:rsidTr="00857EA0">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60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857EA0">
        <w:tblPrEx>
          <w:tblW w:w="9360" w:type="dxa"/>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342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60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857EA0">
        <w:tblPrEx>
          <w:tblW w:w="9360" w:type="dxa"/>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3420"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420"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pPr>
              <w:pStyle w:val="DisclaimerHeading"/>
              <w:spacing w:before="40" w:after="40" w:line="220" w:lineRule="exact"/>
              <w:rPr>
                <w:bCs/>
                <w:sz w:val="18"/>
                <w:szCs w:val="18"/>
              </w:rPr>
            </w:pPr>
            <w:r>
              <w:rPr>
                <w:bCs/>
                <w:sz w:val="18"/>
                <w:szCs w:val="18"/>
              </w:rPr>
              <w:t>February 22, 2024</w:t>
            </w:r>
          </w:p>
        </w:tc>
        <w:tc>
          <w:tcPr>
            <w:tcW w:w="900"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February 12, 2024</w:t>
            </w:r>
          </w:p>
        </w:tc>
        <w:tc>
          <w:tcPr>
            <w:tcW w:w="1604"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February 15, 2024</w:t>
            </w:r>
          </w:p>
        </w:tc>
      </w:tr>
      <w:tr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pPr>
              <w:pStyle w:val="DisclaimerHeading"/>
              <w:spacing w:before="40" w:after="40" w:line="220" w:lineRule="exact"/>
              <w:rPr>
                <w:bCs/>
                <w:sz w:val="18"/>
                <w:szCs w:val="18"/>
              </w:rPr>
            </w:pPr>
            <w:r>
              <w:rPr>
                <w:bCs/>
                <w:sz w:val="18"/>
                <w:szCs w:val="18"/>
              </w:rPr>
              <w:t xml:space="preserve">March 20, 2024 </w:t>
            </w:r>
          </w:p>
        </w:tc>
        <w:tc>
          <w:tcPr>
            <w:tcW w:w="900"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March 8, 2024</w:t>
            </w:r>
          </w:p>
        </w:tc>
        <w:tc>
          <w:tcPr>
            <w:tcW w:w="1604"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March 13, 2024</w:t>
            </w:r>
          </w:p>
        </w:tc>
      </w:tr>
      <w:tr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pPr>
              <w:pStyle w:val="DisclaimerHeading"/>
              <w:spacing w:before="40" w:after="40" w:line="220" w:lineRule="exact"/>
              <w:rPr>
                <w:bCs/>
                <w:sz w:val="18"/>
                <w:szCs w:val="18"/>
              </w:rPr>
            </w:pPr>
            <w:r>
              <w:rPr>
                <w:bCs/>
                <w:sz w:val="18"/>
                <w:szCs w:val="18"/>
              </w:rPr>
              <w:t>April 25, 2024</w:t>
            </w:r>
          </w:p>
        </w:tc>
        <w:tc>
          <w:tcPr>
            <w:tcW w:w="900"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April 15, 2024</w:t>
            </w:r>
          </w:p>
        </w:tc>
        <w:tc>
          <w:tcPr>
            <w:tcW w:w="1604"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April 18, 2024</w:t>
            </w:r>
          </w:p>
        </w:tc>
      </w:tr>
      <w:tr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pPr>
              <w:pStyle w:val="DisclaimerHeading"/>
              <w:spacing w:before="40" w:after="40" w:line="220" w:lineRule="exact"/>
              <w:rPr>
                <w:bCs/>
                <w:sz w:val="18"/>
                <w:szCs w:val="18"/>
              </w:rPr>
            </w:pPr>
            <w:r>
              <w:rPr>
                <w:bCs/>
                <w:sz w:val="18"/>
                <w:szCs w:val="18"/>
              </w:rPr>
              <w:t>May 22, 2024</w:t>
            </w:r>
          </w:p>
        </w:tc>
        <w:tc>
          <w:tcPr>
            <w:tcW w:w="900"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May 10, 2024</w:t>
            </w:r>
          </w:p>
        </w:tc>
        <w:tc>
          <w:tcPr>
            <w:tcW w:w="1604"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May 15, 2024</w:t>
            </w:r>
          </w:p>
        </w:tc>
      </w:tr>
      <w:tr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pPr>
              <w:pStyle w:val="DisclaimerHeading"/>
              <w:spacing w:before="40" w:after="40" w:line="220" w:lineRule="exact"/>
              <w:rPr>
                <w:bCs/>
                <w:sz w:val="18"/>
                <w:szCs w:val="18"/>
              </w:rPr>
            </w:pPr>
            <w:r>
              <w:rPr>
                <w:bCs/>
                <w:sz w:val="18"/>
                <w:szCs w:val="18"/>
              </w:rPr>
              <w:t xml:space="preserve">June 27, 2024 </w:t>
            </w:r>
          </w:p>
        </w:tc>
        <w:tc>
          <w:tcPr>
            <w:tcW w:w="900"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June 17, 2024</w:t>
            </w:r>
          </w:p>
        </w:tc>
        <w:tc>
          <w:tcPr>
            <w:tcW w:w="1604"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June 20, 2024</w:t>
            </w:r>
          </w:p>
        </w:tc>
      </w:tr>
      <w:tr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pPr>
              <w:pStyle w:val="DisclaimerHeading"/>
              <w:spacing w:before="40" w:after="40" w:line="220" w:lineRule="exact"/>
              <w:rPr>
                <w:bCs/>
                <w:sz w:val="18"/>
                <w:szCs w:val="18"/>
              </w:rPr>
            </w:pPr>
            <w:r>
              <w:rPr>
                <w:bCs/>
                <w:sz w:val="18"/>
                <w:szCs w:val="18"/>
              </w:rPr>
              <w:t>July 24, 2024</w:t>
            </w:r>
          </w:p>
        </w:tc>
        <w:tc>
          <w:tcPr>
            <w:tcW w:w="900"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July 12, 2024</w:t>
            </w:r>
          </w:p>
        </w:tc>
        <w:tc>
          <w:tcPr>
            <w:tcW w:w="1604"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July 17, 2024</w:t>
            </w:r>
          </w:p>
        </w:tc>
      </w:tr>
      <w:tr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pPr>
              <w:pStyle w:val="DisclaimerHeading"/>
              <w:spacing w:before="40" w:after="40" w:line="220" w:lineRule="exact"/>
              <w:rPr>
                <w:bCs/>
                <w:sz w:val="18"/>
                <w:szCs w:val="18"/>
              </w:rPr>
            </w:pPr>
            <w:r>
              <w:rPr>
                <w:bCs/>
                <w:sz w:val="18"/>
                <w:szCs w:val="18"/>
              </w:rPr>
              <w:t>August 21, 2024</w:t>
            </w:r>
          </w:p>
        </w:tc>
        <w:tc>
          <w:tcPr>
            <w:tcW w:w="900"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August 9, 2024</w:t>
            </w:r>
          </w:p>
        </w:tc>
        <w:tc>
          <w:tcPr>
            <w:tcW w:w="1604"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August 14, 2024</w:t>
            </w:r>
          </w:p>
        </w:tc>
      </w:tr>
      <w:tr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pPr>
              <w:pStyle w:val="DisclaimerHeading"/>
              <w:spacing w:before="40" w:after="40" w:line="220" w:lineRule="exact"/>
              <w:rPr>
                <w:bCs/>
                <w:sz w:val="18"/>
                <w:szCs w:val="18"/>
              </w:rPr>
            </w:pPr>
            <w:r>
              <w:rPr>
                <w:bCs/>
                <w:sz w:val="18"/>
                <w:szCs w:val="18"/>
              </w:rPr>
              <w:t>September 25, 2024</w:t>
            </w:r>
          </w:p>
        </w:tc>
        <w:tc>
          <w:tcPr>
            <w:tcW w:w="900"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September 13, 2024</w:t>
            </w:r>
          </w:p>
        </w:tc>
        <w:tc>
          <w:tcPr>
            <w:tcW w:w="1604"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September 18, 2024</w:t>
            </w:r>
          </w:p>
        </w:tc>
      </w:tr>
      <w:tr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pPr>
              <w:pStyle w:val="DisclaimerHeading"/>
              <w:spacing w:before="40" w:after="40" w:line="220" w:lineRule="exact"/>
              <w:rPr>
                <w:bCs/>
                <w:sz w:val="18"/>
                <w:szCs w:val="18"/>
              </w:rPr>
            </w:pPr>
            <w:r>
              <w:rPr>
                <w:bCs/>
                <w:sz w:val="18"/>
                <w:szCs w:val="18"/>
              </w:rPr>
              <w:t>October 30, 2024</w:t>
            </w:r>
          </w:p>
        </w:tc>
        <w:tc>
          <w:tcPr>
            <w:tcW w:w="900"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October 18, 2024</w:t>
            </w:r>
          </w:p>
        </w:tc>
        <w:tc>
          <w:tcPr>
            <w:tcW w:w="1604"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October 23, 2024</w:t>
            </w:r>
          </w:p>
        </w:tc>
      </w:tr>
      <w:tr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pPr>
              <w:pStyle w:val="DisclaimerHeading"/>
              <w:spacing w:before="40" w:after="40" w:line="220" w:lineRule="exact"/>
              <w:rPr>
                <w:bCs/>
                <w:sz w:val="18"/>
                <w:szCs w:val="18"/>
              </w:rPr>
            </w:pPr>
            <w:r>
              <w:rPr>
                <w:bCs/>
                <w:sz w:val="18"/>
                <w:szCs w:val="18"/>
              </w:rPr>
              <w:t>November 20, 2024</w:t>
            </w:r>
          </w:p>
        </w:tc>
        <w:tc>
          <w:tcPr>
            <w:tcW w:w="900"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November 8, 2024</w:t>
            </w:r>
          </w:p>
        </w:tc>
        <w:tc>
          <w:tcPr>
            <w:tcW w:w="1604"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November 13, 2024</w:t>
            </w:r>
          </w:p>
        </w:tc>
      </w:tr>
      <w:tr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pPr>
              <w:pStyle w:val="DisclaimerHeading"/>
              <w:spacing w:before="40" w:after="40" w:line="220" w:lineRule="exact"/>
              <w:rPr>
                <w:bCs/>
                <w:sz w:val="18"/>
                <w:szCs w:val="18"/>
              </w:rPr>
            </w:pPr>
            <w:r>
              <w:rPr>
                <w:bCs/>
                <w:sz w:val="18"/>
                <w:szCs w:val="18"/>
              </w:rPr>
              <w:t>December 18, 2024</w:t>
            </w:r>
          </w:p>
        </w:tc>
        <w:tc>
          <w:tcPr>
            <w:tcW w:w="900"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December 6, 2024</w:t>
            </w:r>
          </w:p>
        </w:tc>
        <w:tc>
          <w:tcPr>
            <w:tcW w:w="1604"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December 11, 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B62597" w:rsidP="00337321">
      <w:pPr>
        <w:pStyle w:val="Author"/>
      </w:pPr>
      <w:r>
        <w:t xml:space="preserve">Author: </w:t>
      </w:r>
      <w:r w:rsidR="00857EA0">
        <w:t xml:space="preserve">M. Greening </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Participant Use of Webex Chat:</w:t>
      </w:r>
    </w:p>
    <w:p w:rsidR="00D827A6" w:rsidP="00D827A6">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C70BA">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As of</w:t>
    </w:r>
    <w:r w:rsidR="00857EA0">
      <w:t xml:space="preserve"> January </w:t>
    </w:r>
    <w:r w:rsidR="009C70BA">
      <w:t>22</w:t>
    </w:r>
    <w:r w:rsidR="00857EA0">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11F07"/>
    <w:multiLevelType w:val="hybridMultilevel"/>
    <w:tmpl w:val="EA3EF152"/>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E40653EA"/>
    <w:lvl w:ilvl="0">
      <w:start w:val="1"/>
      <w:numFmt w:val="decimal"/>
      <w:pStyle w:val="ListSubhead1"/>
      <w:lvlText w:val="%1."/>
      <w:lvlJc w:val="left"/>
      <w:pPr>
        <w:ind w:left="360" w:hanging="360"/>
      </w:pPr>
      <w:rPr>
        <w:b w:val="0"/>
      </w:rPr>
    </w:lvl>
    <w:lvl w:ilvl="1">
      <w:start w:val="1"/>
      <w:numFmt w:val="upperLetter"/>
      <w:lvlText w:val="%2."/>
      <w:lvlJc w:val="left"/>
      <w:pPr>
        <w:ind w:left="-8928" w:hanging="72"/>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1537E5A"/>
    <w:multiLevelType w:val="hybridMultilevel"/>
    <w:tmpl w:val="909C1D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B057D8F"/>
    <w:multiLevelType w:val="hybridMultilevel"/>
    <w:tmpl w:val="3094EB7C"/>
    <w:lvl w:ilvl="0">
      <w:start w:val="1"/>
      <w:numFmt w:val="decimal"/>
      <w:lvlText w:val="%1."/>
      <w:lvlJc w:val="left"/>
      <w:pPr>
        <w:ind w:left="360" w:hanging="360"/>
      </w:pPr>
      <w:rPr>
        <w:b w:val="0"/>
        <w:strike w:val="0"/>
      </w:rPr>
    </w:lvl>
    <w:lvl w:ilvl="1">
      <w:start w:val="1"/>
      <w:numFmt w:val="upperLetter"/>
      <w:lvlText w:val="%2."/>
      <w:lvlJc w:val="left"/>
      <w:pPr>
        <w:ind w:left="1080" w:hanging="360"/>
      </w:pPr>
      <w:rPr>
        <w:b w:val="0"/>
        <w:color w:val="auto"/>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1"/>
  </w:num>
  <w:num w:numId="11">
    <w:abstractNumId w:val="4"/>
  </w:num>
  <w:num w:numId="12">
    <w:abstractNumId w:val="2"/>
  </w:num>
  <w:num w:numId="13">
    <w:abstractNumId w:val="6"/>
  </w:num>
  <w:num w:numId="14">
    <w:abstractNumId w:val="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09"/>
    <w:rsid w:val="00010057"/>
    <w:rsid w:val="000232DF"/>
    <w:rsid w:val="00027F49"/>
    <w:rsid w:val="000333FF"/>
    <w:rsid w:val="000538D7"/>
    <w:rsid w:val="0006798D"/>
    <w:rsid w:val="00092135"/>
    <w:rsid w:val="00096230"/>
    <w:rsid w:val="00117AF9"/>
    <w:rsid w:val="00121F58"/>
    <w:rsid w:val="001678E8"/>
    <w:rsid w:val="00170E02"/>
    <w:rsid w:val="001B2242"/>
    <w:rsid w:val="001B4664"/>
    <w:rsid w:val="001C0CC0"/>
    <w:rsid w:val="001D3B68"/>
    <w:rsid w:val="00200A1B"/>
    <w:rsid w:val="002113BD"/>
    <w:rsid w:val="0025139E"/>
    <w:rsid w:val="002B2CB6"/>
    <w:rsid w:val="002B2F98"/>
    <w:rsid w:val="002C6057"/>
    <w:rsid w:val="002F6131"/>
    <w:rsid w:val="00305238"/>
    <w:rsid w:val="003251CE"/>
    <w:rsid w:val="00337321"/>
    <w:rsid w:val="00394850"/>
    <w:rsid w:val="003B55E1"/>
    <w:rsid w:val="003C17E2"/>
    <w:rsid w:val="003C3320"/>
    <w:rsid w:val="003D7E5C"/>
    <w:rsid w:val="003E7A73"/>
    <w:rsid w:val="003F046E"/>
    <w:rsid w:val="0046043F"/>
    <w:rsid w:val="00491490"/>
    <w:rsid w:val="00494494"/>
    <w:rsid w:val="004969FA"/>
    <w:rsid w:val="004C6E71"/>
    <w:rsid w:val="004F3D57"/>
    <w:rsid w:val="00527104"/>
    <w:rsid w:val="00564DEE"/>
    <w:rsid w:val="0057441E"/>
    <w:rsid w:val="005A5D0D"/>
    <w:rsid w:val="005D6D05"/>
    <w:rsid w:val="006024A0"/>
    <w:rsid w:val="00602967"/>
    <w:rsid w:val="00606F11"/>
    <w:rsid w:val="006C738F"/>
    <w:rsid w:val="006F7A52"/>
    <w:rsid w:val="00711249"/>
    <w:rsid w:val="00712CAA"/>
    <w:rsid w:val="00716A8B"/>
    <w:rsid w:val="00730F76"/>
    <w:rsid w:val="00744A45"/>
    <w:rsid w:val="0075340F"/>
    <w:rsid w:val="00754C6D"/>
    <w:rsid w:val="00755096"/>
    <w:rsid w:val="007642DD"/>
    <w:rsid w:val="007703B4"/>
    <w:rsid w:val="00777623"/>
    <w:rsid w:val="007A34A3"/>
    <w:rsid w:val="007C2954"/>
    <w:rsid w:val="007D4F70"/>
    <w:rsid w:val="007E7CAB"/>
    <w:rsid w:val="00813B57"/>
    <w:rsid w:val="00837B12"/>
    <w:rsid w:val="00841282"/>
    <w:rsid w:val="008552A3"/>
    <w:rsid w:val="00857EA0"/>
    <w:rsid w:val="00882652"/>
    <w:rsid w:val="008F499A"/>
    <w:rsid w:val="00911156"/>
    <w:rsid w:val="00914902"/>
    <w:rsid w:val="00917386"/>
    <w:rsid w:val="0095194C"/>
    <w:rsid w:val="0097702E"/>
    <w:rsid w:val="00991528"/>
    <w:rsid w:val="009A5430"/>
    <w:rsid w:val="009C15C4"/>
    <w:rsid w:val="009C70BA"/>
    <w:rsid w:val="009C7250"/>
    <w:rsid w:val="009D7613"/>
    <w:rsid w:val="009F53F9"/>
    <w:rsid w:val="009F6D09"/>
    <w:rsid w:val="00A05391"/>
    <w:rsid w:val="00A05D00"/>
    <w:rsid w:val="00A317A9"/>
    <w:rsid w:val="00A36FEA"/>
    <w:rsid w:val="00A41149"/>
    <w:rsid w:val="00A56D57"/>
    <w:rsid w:val="00A64108"/>
    <w:rsid w:val="00A82E9D"/>
    <w:rsid w:val="00A931C3"/>
    <w:rsid w:val="00AC2247"/>
    <w:rsid w:val="00AD78F1"/>
    <w:rsid w:val="00B16D95"/>
    <w:rsid w:val="00B20316"/>
    <w:rsid w:val="00B34E3C"/>
    <w:rsid w:val="00B42FAE"/>
    <w:rsid w:val="00B62597"/>
    <w:rsid w:val="00BA6146"/>
    <w:rsid w:val="00BB531B"/>
    <w:rsid w:val="00BB6921"/>
    <w:rsid w:val="00BF331B"/>
    <w:rsid w:val="00C10A93"/>
    <w:rsid w:val="00C22988"/>
    <w:rsid w:val="00C439EC"/>
    <w:rsid w:val="00C5307B"/>
    <w:rsid w:val="00C72168"/>
    <w:rsid w:val="00C757F4"/>
    <w:rsid w:val="00C75A9D"/>
    <w:rsid w:val="00CA49B9"/>
    <w:rsid w:val="00CB19DE"/>
    <w:rsid w:val="00CB475B"/>
    <w:rsid w:val="00CC1B47"/>
    <w:rsid w:val="00CE451E"/>
    <w:rsid w:val="00D06EC8"/>
    <w:rsid w:val="00D136EA"/>
    <w:rsid w:val="00D251ED"/>
    <w:rsid w:val="00D25CD4"/>
    <w:rsid w:val="00D477E1"/>
    <w:rsid w:val="00D827A6"/>
    <w:rsid w:val="00D831E4"/>
    <w:rsid w:val="00D95949"/>
    <w:rsid w:val="00DA23DE"/>
    <w:rsid w:val="00DB29E9"/>
    <w:rsid w:val="00DE34CF"/>
    <w:rsid w:val="00DE77B9"/>
    <w:rsid w:val="00DF1112"/>
    <w:rsid w:val="00E01E4B"/>
    <w:rsid w:val="00E1605D"/>
    <w:rsid w:val="00E32B6B"/>
    <w:rsid w:val="00E5387A"/>
    <w:rsid w:val="00E55E84"/>
    <w:rsid w:val="00EB68B0"/>
    <w:rsid w:val="00F4190F"/>
    <w:rsid w:val="00F5077C"/>
    <w:rsid w:val="00FA5955"/>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51B00B"/>
  <w15:docId w15:val="{2BDD950A-B098-485F-85DC-CCEC186D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2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