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37F27CBD">
      <w:pPr>
        <w:pStyle w:val="MeetingDetails"/>
      </w:pPr>
      <w:r>
        <w:t>Performance Impact of the Multi-schedule Model on the Market Clearing Engine</w:t>
      </w:r>
    </w:p>
    <w:p w:rsidR="000B7ED8" w:rsidRPr="002E16A0" w:rsidP="000B7ED8" w14:paraId="60D8F906" w14:textId="471CAC77">
      <w:pPr>
        <w:pStyle w:val="MeetingDetails"/>
      </w:pPr>
      <w:r>
        <w:t xml:space="preserve">WebEx </w:t>
      </w:r>
    </w:p>
    <w:p w:rsidR="006B5673" w:rsidRPr="002E16A0" w:rsidP="006B5673" w14:paraId="7F125BD1" w14:textId="7B217A1B">
      <w:pPr>
        <w:pStyle w:val="MeetingDetails"/>
      </w:pPr>
      <w:r>
        <w:t>April</w:t>
      </w:r>
      <w:r w:rsidR="000B7ED8">
        <w:t xml:space="preserve"> </w:t>
      </w:r>
      <w:r>
        <w:t>2</w:t>
      </w:r>
      <w:r w:rsidR="008519B4">
        <w:t>0</w:t>
      </w:r>
      <w:r>
        <w:t>, 2022</w:t>
      </w:r>
    </w:p>
    <w:p w:rsidR="00CC0472" w:rsidP="00CC0472" w14:paraId="7E5963E6" w14:textId="64652986">
      <w:pPr>
        <w:pStyle w:val="MeetingDetails"/>
      </w:pPr>
      <w:r>
        <w:t>9</w:t>
      </w:r>
      <w:r w:rsidRPr="002E16A0">
        <w:t>:</w:t>
      </w:r>
      <w:r w:rsidR="00C33ED4">
        <w:t>00</w:t>
      </w:r>
      <w:r w:rsidRPr="002E16A0">
        <w:t xml:space="preserve"> </w:t>
      </w:r>
      <w:r>
        <w:t>a</w:t>
      </w:r>
      <w:r w:rsidRPr="002E16A0">
        <w:t>.m</w:t>
      </w:r>
      <w:r w:rsidRPr="00F415AE">
        <w:t xml:space="preserve">. – </w:t>
      </w:r>
      <w:r>
        <w:t>12</w:t>
      </w:r>
      <w:r w:rsidRPr="00F415AE" w:rsidR="00576881">
        <w:t>:</w:t>
      </w:r>
      <w:r w:rsidR="00C33ED4">
        <w:t>0</w:t>
      </w:r>
      <w:r w:rsidR="00221FEF">
        <w:t>0</w:t>
      </w:r>
      <w:r w:rsidRPr="00F415AE">
        <w:t xml:space="preserve"> </w:t>
      </w:r>
      <w:r w:rsidRPr="00F415AE" w:rsidR="00CF0874">
        <w:t>p</w:t>
      </w:r>
      <w:r w:rsidRPr="00F415AE">
        <w:t>.m</w:t>
      </w:r>
      <w:r w:rsidRPr="00A3732B">
        <w:t>. EPT</w:t>
      </w:r>
    </w:p>
    <w:p w:rsidR="007E4521" w:rsidRPr="00315F40" w:rsidP="00CC0472" w14:paraId="17F6F8D6" w14:textId="50D05525">
      <w:pPr>
        <w:pStyle w:val="MeetingDetails"/>
        <w:rPr>
          <w:sz w:val="18"/>
        </w:rPr>
      </w:pPr>
    </w:p>
    <w:p w:rsidR="007E4521" w:rsidRPr="00A3732B" w:rsidP="00CC0472" w14:paraId="635F3DD0" w14:textId="49DBC9C2">
      <w:pPr>
        <w:pStyle w:val="MeetingDetails"/>
      </w:pPr>
      <w:hyperlink r:id="rId5" w:history="1">
        <w:r w:rsidRPr="007E4521">
          <w:rPr>
            <w:rStyle w:val="Hyperlink"/>
          </w:rPr>
          <w:t>Issue Tracking: Performance Impact of the Multi-schedule Model on the Market Clearing Engine</w:t>
        </w:r>
      </w:hyperlink>
    </w:p>
    <w:p w:rsidR="00B62597" w:rsidRPr="00B62597" w:rsidP="00B62597" w14:paraId="465A5BE0" w14:textId="77777777">
      <w:pPr>
        <w:rPr>
          <w:rFonts w:ascii="Arial Narrow" w:hAnsi="Arial Narrow"/>
          <w:szCs w:val="20"/>
        </w:rPr>
      </w:pPr>
    </w:p>
    <w:p w:rsidR="00B62597" w:rsidRPr="00772D03" w:rsidP="009F52D5" w14:paraId="13837AD1" w14:textId="31AF2135">
      <w:pPr>
        <w:pStyle w:val="PrimaryHeading"/>
      </w:pPr>
      <w:bookmarkStart w:id="0" w:name="OLE_LINK5"/>
      <w:bookmarkStart w:id="1" w:name="OLE_LINK3"/>
      <w:r>
        <w:t>Administration</w:t>
      </w:r>
      <w:r w:rsidR="00CC0472">
        <w:t xml:space="preserve"> (</w:t>
      </w:r>
      <w:r w:rsidR="008519B4">
        <w:t>9</w:t>
      </w:r>
      <w:r w:rsidR="002B2F98">
        <w:t>:</w:t>
      </w:r>
      <w:r w:rsidR="00C33ED4">
        <w:t>00</w:t>
      </w:r>
      <w:r w:rsidR="00772D03">
        <w:t xml:space="preserve"> – </w:t>
      </w:r>
      <w:r w:rsidR="008519B4">
        <w:t>9</w:t>
      </w:r>
      <w:r w:rsidRPr="000D73DD" w:rsidR="00CC0472">
        <w:t>:</w:t>
      </w:r>
      <w:r w:rsidR="00C33ED4">
        <w:t>05</w:t>
      </w:r>
      <w:r w:rsidRPr="00B62597">
        <w:t>)</w:t>
      </w:r>
      <w:r w:rsidR="001F34DC">
        <w:t xml:space="preserve"> </w:t>
      </w:r>
    </w:p>
    <w:bookmarkEnd w:id="0"/>
    <w:bookmarkEnd w:id="1"/>
    <w:p w:rsidR="00020CB5" w:rsidP="00AE221E" w14:paraId="360B609E" w14:textId="438B566B">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8519B4" w:rsidP="00FF01F1" w14:paraId="537F26C7" w14:textId="38CEA048">
      <w:pPr>
        <w:pStyle w:val="SecondaryHeading-Numbered"/>
        <w:numPr>
          <w:ilvl w:val="0"/>
          <w:numId w:val="3"/>
        </w:numPr>
        <w:rPr>
          <w:szCs w:val="24"/>
        </w:rPr>
      </w:pPr>
      <w:r>
        <w:rPr>
          <w:szCs w:val="24"/>
        </w:rPr>
        <w:t>Members</w:t>
      </w:r>
      <w:r w:rsidRPr="00FF3875">
        <w:rPr>
          <w:szCs w:val="24"/>
        </w:rPr>
        <w:t xml:space="preserve"> will be asked to approve </w:t>
      </w:r>
      <w:r>
        <w:rPr>
          <w:szCs w:val="24"/>
        </w:rPr>
        <w:t>the draft minutes from the March 30, 2023</w:t>
      </w:r>
      <w:r w:rsidRPr="00FF3875">
        <w:rPr>
          <w:szCs w:val="24"/>
        </w:rPr>
        <w:t xml:space="preserve"> </w:t>
      </w:r>
      <w:r>
        <w:rPr>
          <w:szCs w:val="24"/>
        </w:rPr>
        <w:t>Special Session</w:t>
      </w:r>
      <w:r w:rsidR="007B3EA8">
        <w:rPr>
          <w:szCs w:val="24"/>
        </w:rPr>
        <w:t>.</w:t>
      </w:r>
    </w:p>
    <w:p w:rsidR="0085410C" w:rsidP="0085410C" w14:paraId="53276E42" w14:textId="589FD5AE">
      <w:pPr>
        <w:pStyle w:val="PrimaryHeading"/>
      </w:pPr>
      <w:r>
        <w:t>Consensus-Based Issue Resolution</w:t>
      </w:r>
      <w:r w:rsidR="00E73BDB">
        <w:t xml:space="preserve"> (</w:t>
      </w:r>
      <w:r w:rsidR="008519B4">
        <w:t>9</w:t>
      </w:r>
      <w:r w:rsidR="00E73BDB">
        <w:t>:</w:t>
      </w:r>
      <w:r w:rsidR="00C33ED4">
        <w:t>0</w:t>
      </w:r>
      <w:r w:rsidR="00862F37">
        <w:t>5</w:t>
      </w:r>
      <w:r w:rsidR="00E73BDB">
        <w:t xml:space="preserve"> – </w:t>
      </w:r>
      <w:r w:rsidR="008519B4">
        <w:t>12</w:t>
      </w:r>
      <w:r w:rsidR="00E73BDB">
        <w:t>:</w:t>
      </w:r>
      <w:r w:rsidR="00C33ED4">
        <w:t>00</w:t>
      </w:r>
      <w:r w:rsidR="00E73BDB">
        <w:t>)</w:t>
      </w:r>
    </w:p>
    <w:p w:rsidR="0085410C" w:rsidP="008557DA" w14:paraId="3C4D42AF" w14:textId="0BB4A603">
      <w:pPr>
        <w:pStyle w:val="ListParagraph"/>
        <w:numPr>
          <w:ilvl w:val="0"/>
          <w:numId w:val="3"/>
        </w:numPr>
        <w:spacing w:after="200"/>
        <w:rPr>
          <w:rFonts w:ascii="Arial Narrow" w:hAnsi="Arial Narrow" w:cs="Calibri"/>
        </w:rPr>
      </w:pPr>
      <w:r>
        <w:rPr>
          <w:rFonts w:ascii="Arial Narrow" w:hAnsi="Arial Narrow" w:cs="Calibri"/>
        </w:rPr>
        <w:t>Nikki Militello will lead a discussion on interest identification, design components, and solution options within the matrix</w:t>
      </w:r>
      <w:r>
        <w:rPr>
          <w:rFonts w:ascii="Arial Narrow" w:hAnsi="Arial Narrow" w:cs="Calibri"/>
        </w:rPr>
        <w:t>.</w:t>
      </w:r>
    </w:p>
    <w:p w:rsidR="00EB7D62" w:rsidP="00EB7D62" w14:paraId="6832A752" w14:textId="384C723F">
      <w:pPr>
        <w:pStyle w:val="PrimaryHeading"/>
      </w:pPr>
      <w:r>
        <w:t>Informational Only</w:t>
      </w:r>
    </w:p>
    <w:p w:rsidR="00EB7D62" w:rsidP="00EB7D62" w14:paraId="67C79D0C" w14:textId="51B262E4">
      <w:pPr>
        <w:rPr>
          <w:rFonts w:ascii="Arial Narrow" w:hAnsi="Arial Narrow"/>
          <w:sz w:val="24"/>
          <w:szCs w:val="24"/>
        </w:rPr>
      </w:pPr>
      <w:r w:rsidRPr="00EB7D62">
        <w:rPr>
          <w:rFonts w:ascii="Arial Narrow" w:hAnsi="Arial Narrow"/>
          <w:sz w:val="24"/>
          <w:szCs w:val="24"/>
        </w:rPr>
        <w:t xml:space="preserve">Previous education </w:t>
      </w:r>
      <w:r w:rsidRPr="00EB7D62">
        <w:rPr>
          <w:rFonts w:ascii="Arial Narrow" w:hAnsi="Arial Narrow"/>
          <w:sz w:val="24"/>
          <w:szCs w:val="24"/>
        </w:rPr>
        <w:t>can be referenced</w:t>
      </w:r>
      <w:r w:rsidRPr="00EB7D62">
        <w:rPr>
          <w:rFonts w:ascii="Arial Narrow" w:hAnsi="Arial Narrow"/>
          <w:sz w:val="24"/>
          <w:szCs w:val="24"/>
        </w:rPr>
        <w:t xml:space="preserve"> fro</w:t>
      </w:r>
      <w:bookmarkStart w:id="2" w:name="_GoBack"/>
      <w:bookmarkEnd w:id="2"/>
      <w:r w:rsidRPr="00EB7D62">
        <w:rPr>
          <w:rFonts w:ascii="Arial Narrow" w:hAnsi="Arial Narrow"/>
          <w:sz w:val="24"/>
          <w:szCs w:val="24"/>
        </w:rPr>
        <w:t xml:space="preserve">m the </w:t>
      </w:r>
      <w:hyperlink r:id="rId6" w:history="1">
        <w:r w:rsidRPr="00EB7D62">
          <w:rPr>
            <w:rStyle w:val="Hyperlink"/>
            <w:rFonts w:ascii="Arial Narrow" w:hAnsi="Arial Narrow"/>
            <w:sz w:val="24"/>
            <w:szCs w:val="24"/>
          </w:rPr>
          <w:t>Combined Cycle Modeling Education Workshop</w:t>
        </w:r>
      </w:hyperlink>
      <w:r w:rsidRPr="00EB7D62">
        <w:rPr>
          <w:rFonts w:ascii="Arial Narrow" w:hAnsi="Arial Narrow"/>
          <w:sz w:val="24"/>
          <w:szCs w:val="24"/>
        </w:rPr>
        <w:t xml:space="preserve">, presented on October 20, 2022. </w:t>
      </w:r>
    </w:p>
    <w:p w:rsidR="00EB7D62" w:rsidRPr="00EB7D62" w:rsidP="00EB7D62" w14:paraId="4388AD81" w14:textId="77777777">
      <w:pPr>
        <w:rPr>
          <w:rFonts w:ascii="Arial Narrow" w:hAnsi="Arial Narrow"/>
          <w:sz w:val="24"/>
          <w:szCs w:val="24"/>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1679"/>
        <w:gridCol w:w="3060"/>
        <w:gridCol w:w="1816"/>
        <w:gridCol w:w="1534"/>
      </w:tblGrid>
      <w:tr w14:paraId="2F56ABCA" w14:textId="77777777" w:rsidTr="00B955A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FF01F1" w:rsidRPr="003C3320" w:rsidP="00B955AD" w14:paraId="1F413494"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FF01F1" w:rsidRPr="00DA23DE" w:rsidP="00B955AD" w14:paraId="238AE6A9"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FF01F1" w:rsidRPr="00DA23DE" w:rsidP="00B955AD" w14:paraId="22BFB385"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5237A3F" w14:textId="77777777" w:rsidTr="002E3D09">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FF01F1" w:rsidRPr="00BB6921" w:rsidP="00B955AD" w14:paraId="2B09403F" w14:textId="77777777">
            <w:pPr>
              <w:pStyle w:val="DisclaimerHeading"/>
              <w:rPr>
                <w:color w:val="auto"/>
                <w:sz w:val="19"/>
                <w:szCs w:val="19"/>
              </w:rPr>
            </w:pPr>
            <w:r w:rsidRPr="00BB6921">
              <w:rPr>
                <w:i w:val="0"/>
                <w:color w:val="auto"/>
                <w:sz w:val="19"/>
                <w:szCs w:val="19"/>
              </w:rPr>
              <w:t>Date</w:t>
            </w:r>
          </w:p>
        </w:tc>
        <w:tc>
          <w:tcPr>
            <w:tcW w:w="1679"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FF01F1" w:rsidRPr="00BB6921" w:rsidP="00B955AD" w14:paraId="1CF27EE4" w14:textId="77777777">
            <w:pPr>
              <w:pStyle w:val="DisclaimerHeading"/>
              <w:rPr>
                <w:color w:val="auto"/>
                <w:sz w:val="19"/>
                <w:szCs w:val="19"/>
              </w:rPr>
            </w:pPr>
            <w:r w:rsidRPr="00BB6921">
              <w:rPr>
                <w:color w:val="auto"/>
                <w:sz w:val="19"/>
                <w:szCs w:val="19"/>
              </w:rPr>
              <w:t>Time</w:t>
            </w:r>
          </w:p>
        </w:tc>
        <w:tc>
          <w:tcPr>
            <w:tcW w:w="3060"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FF01F1" w:rsidRPr="00BB6921" w:rsidP="00B955AD" w14:paraId="1DFAA7AE"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FF01F1" w:rsidRPr="00C10A93" w:rsidP="00B955AD" w14:paraId="33FF7030"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FF01F1" w:rsidRPr="00C10A93" w:rsidP="00B955AD" w14:paraId="697FC132"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188BD028"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2E3D09" w14:paraId="1D15AFFC" w14:textId="23A97947">
            <w:pPr>
              <w:pStyle w:val="DisclaimerHeading"/>
              <w:spacing w:before="40" w:after="40" w:line="220" w:lineRule="exact"/>
              <w:rPr>
                <w:b w:val="0"/>
                <w:color w:val="auto"/>
                <w:sz w:val="18"/>
                <w:szCs w:val="18"/>
              </w:rPr>
            </w:pPr>
            <w:r w:rsidRPr="009D5E0E">
              <w:rPr>
                <w:b w:val="0"/>
                <w:i w:val="0"/>
                <w:color w:val="auto"/>
                <w:sz w:val="18"/>
                <w:szCs w:val="18"/>
              </w:rPr>
              <w:t xml:space="preserve">April </w:t>
            </w:r>
            <w:r w:rsidR="002E3D09">
              <w:rPr>
                <w:b w:val="0"/>
                <w:i w:val="0"/>
                <w:color w:val="auto"/>
                <w:sz w:val="18"/>
                <w:szCs w:val="18"/>
              </w:rPr>
              <w:t>20</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B955AD" w14:paraId="640D1C01" w14:textId="0A452E2E">
            <w:pPr>
              <w:pStyle w:val="DisclaimerHeading"/>
              <w:spacing w:before="40" w:after="40" w:line="220" w:lineRule="exact"/>
              <w:rPr>
                <w:b w:val="0"/>
                <w:color w:val="auto"/>
                <w:sz w:val="18"/>
                <w:szCs w:val="18"/>
              </w:rPr>
            </w:pPr>
            <w:r w:rsidRPr="00C10A93">
              <w:rPr>
                <w:b w:val="0"/>
                <w:color w:val="auto"/>
                <w:sz w:val="18"/>
                <w:szCs w:val="18"/>
              </w:rPr>
              <w:t>9 a.m.</w:t>
            </w:r>
            <w:r w:rsidR="002E3D09">
              <w:rPr>
                <w:b w:val="0"/>
                <w:color w:val="auto"/>
                <w:sz w:val="18"/>
                <w:szCs w:val="18"/>
              </w:rPr>
              <w:t xml:space="preserve"> – 12:00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65F83AD0" w14:textId="1827ABEE">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B955AD" w14:paraId="7EF51F57" w14:textId="7B61B875">
            <w:pPr>
              <w:pStyle w:val="DisclaimerHeading"/>
              <w:spacing w:before="40" w:after="40" w:line="220" w:lineRule="exact"/>
              <w:jc w:val="center"/>
              <w:rPr>
                <w:b w:val="0"/>
                <w:color w:val="auto"/>
                <w:sz w:val="18"/>
                <w:szCs w:val="18"/>
              </w:rPr>
            </w:pPr>
            <w:r>
              <w:rPr>
                <w:b w:val="0"/>
                <w:color w:val="auto"/>
                <w:sz w:val="18"/>
                <w:szCs w:val="18"/>
              </w:rPr>
              <w:t>April 12</w:t>
            </w:r>
          </w:p>
        </w:tc>
        <w:tc>
          <w:tcPr>
            <w:tcW w:w="1534" w:type="dxa"/>
            <w:tcBorders>
              <w:top w:val="single" w:sz="4" w:space="0" w:color="auto"/>
              <w:left w:val="single" w:sz="4" w:space="0" w:color="auto"/>
              <w:bottom w:val="single" w:sz="4" w:space="0" w:color="auto"/>
              <w:right w:val="single" w:sz="4" w:space="0" w:color="auto"/>
            </w:tcBorders>
          </w:tcPr>
          <w:p w:rsidR="00FF01F1" w:rsidP="002E3D09" w14:paraId="1CC04E62" w14:textId="16595E36">
            <w:pPr>
              <w:pStyle w:val="DisclaimerHeading"/>
              <w:spacing w:before="40" w:after="40" w:line="220" w:lineRule="exact"/>
              <w:jc w:val="center"/>
              <w:rPr>
                <w:b w:val="0"/>
                <w:color w:val="auto"/>
                <w:sz w:val="18"/>
                <w:szCs w:val="18"/>
              </w:rPr>
            </w:pPr>
            <w:r>
              <w:rPr>
                <w:b w:val="0"/>
                <w:color w:val="auto"/>
                <w:sz w:val="18"/>
                <w:szCs w:val="18"/>
              </w:rPr>
              <w:t xml:space="preserve">April </w:t>
            </w:r>
            <w:r w:rsidR="002E3D09">
              <w:rPr>
                <w:b w:val="0"/>
                <w:color w:val="auto"/>
                <w:sz w:val="18"/>
                <w:szCs w:val="18"/>
              </w:rPr>
              <w:t>17</w:t>
            </w:r>
          </w:p>
        </w:tc>
      </w:tr>
      <w:tr w14:paraId="44366AA4"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2E3D09" w14:paraId="46BD5E1B" w14:textId="56BF36F6">
            <w:pPr>
              <w:pStyle w:val="DisclaimerHeading"/>
              <w:spacing w:before="40" w:after="40" w:line="220" w:lineRule="exact"/>
              <w:rPr>
                <w:b w:val="0"/>
                <w:color w:val="auto"/>
                <w:sz w:val="18"/>
                <w:szCs w:val="18"/>
              </w:rPr>
            </w:pPr>
            <w:r w:rsidRPr="009D5E0E">
              <w:rPr>
                <w:b w:val="0"/>
                <w:i w:val="0"/>
                <w:color w:val="auto"/>
                <w:sz w:val="18"/>
                <w:szCs w:val="18"/>
              </w:rPr>
              <w:t xml:space="preserve">May </w:t>
            </w:r>
            <w:r w:rsidR="002E3D09">
              <w:rPr>
                <w:b w:val="0"/>
                <w:i w:val="0"/>
                <w:color w:val="auto"/>
                <w:sz w:val="18"/>
                <w:szCs w:val="18"/>
              </w:rPr>
              <w:t>24</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B955AD" w14:paraId="69D007E6" w14:textId="28F8F5AF">
            <w:pPr>
              <w:pStyle w:val="DisclaimerHeading"/>
              <w:spacing w:before="40" w:after="40" w:line="220" w:lineRule="exact"/>
              <w:rPr>
                <w:b w:val="0"/>
                <w:color w:val="auto"/>
                <w:sz w:val="18"/>
                <w:szCs w:val="18"/>
              </w:rPr>
            </w:pPr>
            <w:r w:rsidRPr="00C10A93">
              <w:rPr>
                <w:b w:val="0"/>
                <w:color w:val="auto"/>
                <w:sz w:val="18"/>
                <w:szCs w:val="18"/>
              </w:rPr>
              <w:t>9 a.m.</w:t>
            </w:r>
            <w:r w:rsidR="002E3D09">
              <w:rPr>
                <w:b w:val="0"/>
                <w:color w:val="auto"/>
                <w:sz w:val="18"/>
                <w:szCs w:val="18"/>
              </w:rPr>
              <w:t xml:space="preserve"> – 4:00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6CCBF771" w14:textId="42508517">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2E3D09" w14:paraId="67E091AD" w14:textId="73289FEE">
            <w:pPr>
              <w:pStyle w:val="DisclaimerHeading"/>
              <w:spacing w:before="40" w:after="40" w:line="220" w:lineRule="exact"/>
              <w:jc w:val="center"/>
              <w:rPr>
                <w:b w:val="0"/>
                <w:color w:val="auto"/>
                <w:sz w:val="18"/>
                <w:szCs w:val="18"/>
              </w:rPr>
            </w:pPr>
            <w:r>
              <w:rPr>
                <w:b w:val="0"/>
                <w:color w:val="auto"/>
                <w:sz w:val="18"/>
                <w:szCs w:val="18"/>
              </w:rPr>
              <w:t>May 16</w:t>
            </w:r>
          </w:p>
        </w:tc>
        <w:tc>
          <w:tcPr>
            <w:tcW w:w="1534" w:type="dxa"/>
            <w:tcBorders>
              <w:top w:val="single" w:sz="4" w:space="0" w:color="auto"/>
              <w:left w:val="single" w:sz="4" w:space="0" w:color="auto"/>
              <w:bottom w:val="single" w:sz="4" w:space="0" w:color="auto"/>
              <w:right w:val="single" w:sz="4" w:space="0" w:color="auto"/>
            </w:tcBorders>
          </w:tcPr>
          <w:p w:rsidR="00FF01F1" w:rsidP="002E3D09" w14:paraId="2D417BC8" w14:textId="27631C9A">
            <w:pPr>
              <w:pStyle w:val="DisclaimerHeading"/>
              <w:spacing w:before="40" w:after="40" w:line="220" w:lineRule="exact"/>
              <w:jc w:val="center"/>
              <w:rPr>
                <w:b w:val="0"/>
                <w:color w:val="auto"/>
                <w:sz w:val="18"/>
                <w:szCs w:val="18"/>
              </w:rPr>
            </w:pPr>
            <w:r>
              <w:rPr>
                <w:b w:val="0"/>
                <w:color w:val="auto"/>
                <w:sz w:val="18"/>
                <w:szCs w:val="18"/>
              </w:rPr>
              <w:t xml:space="preserve">May </w:t>
            </w:r>
            <w:r w:rsidR="002E3D09">
              <w:rPr>
                <w:b w:val="0"/>
                <w:color w:val="auto"/>
                <w:sz w:val="18"/>
                <w:szCs w:val="18"/>
              </w:rPr>
              <w:t>19</w:t>
            </w:r>
          </w:p>
        </w:tc>
      </w:tr>
      <w:tr w14:paraId="759F058A" w14:textId="77777777" w:rsidTr="002E3D09">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FF01F1" w:rsidRPr="009D5E0E" w:rsidP="00B955AD" w14:paraId="76A5FE40" w14:textId="6C907C45">
            <w:pPr>
              <w:pStyle w:val="DisclaimerHeading"/>
              <w:spacing w:before="40" w:after="40" w:line="220" w:lineRule="exact"/>
              <w:rPr>
                <w:b w:val="0"/>
                <w:color w:val="auto"/>
                <w:sz w:val="18"/>
                <w:szCs w:val="18"/>
              </w:rPr>
            </w:pPr>
            <w:r w:rsidRPr="009D5E0E">
              <w:rPr>
                <w:b w:val="0"/>
                <w:i w:val="0"/>
                <w:color w:val="auto"/>
                <w:sz w:val="18"/>
                <w:szCs w:val="18"/>
              </w:rPr>
              <w:t xml:space="preserve">June </w:t>
            </w:r>
            <w:r w:rsidR="002E3D09">
              <w:rPr>
                <w:b w:val="0"/>
                <w:i w:val="0"/>
                <w:color w:val="auto"/>
                <w:sz w:val="18"/>
                <w:szCs w:val="18"/>
              </w:rPr>
              <w:t>2</w:t>
            </w:r>
            <w:r w:rsidRPr="009D5E0E">
              <w:rPr>
                <w:b w:val="0"/>
                <w:i w:val="0"/>
                <w:color w:val="auto"/>
                <w:sz w:val="18"/>
                <w:szCs w:val="18"/>
              </w:rPr>
              <w:t>7</w:t>
            </w:r>
          </w:p>
        </w:tc>
        <w:tc>
          <w:tcPr>
            <w:tcW w:w="1679" w:type="dxa"/>
            <w:tcBorders>
              <w:top w:val="single" w:sz="4" w:space="0" w:color="auto"/>
              <w:left w:val="single" w:sz="4" w:space="0" w:color="auto"/>
              <w:bottom w:val="single" w:sz="4" w:space="0" w:color="auto"/>
              <w:right w:val="single" w:sz="8" w:space="0" w:color="auto"/>
            </w:tcBorders>
          </w:tcPr>
          <w:p w:rsidR="00FF01F1" w:rsidRPr="00C10A93" w:rsidP="002A05C8" w14:paraId="5917D3EF" w14:textId="5EF38CE7">
            <w:pPr>
              <w:pStyle w:val="DisclaimerHeading"/>
              <w:spacing w:before="40" w:after="40" w:line="220" w:lineRule="exact"/>
              <w:rPr>
                <w:b w:val="0"/>
                <w:color w:val="auto"/>
                <w:sz w:val="18"/>
                <w:szCs w:val="18"/>
              </w:rPr>
            </w:pPr>
            <w:r>
              <w:rPr>
                <w:b w:val="0"/>
                <w:color w:val="auto"/>
                <w:sz w:val="18"/>
                <w:szCs w:val="18"/>
              </w:rPr>
              <w:t>1</w:t>
            </w:r>
            <w:r w:rsidRPr="00C10A93">
              <w:rPr>
                <w:b w:val="0"/>
                <w:color w:val="auto"/>
                <w:sz w:val="18"/>
                <w:szCs w:val="18"/>
              </w:rPr>
              <w:t xml:space="preserve"> </w:t>
            </w:r>
            <w:r>
              <w:rPr>
                <w:b w:val="0"/>
                <w:color w:val="auto"/>
                <w:sz w:val="18"/>
                <w:szCs w:val="18"/>
              </w:rPr>
              <w:t>p</w:t>
            </w:r>
            <w:r w:rsidRPr="00C10A93">
              <w:rPr>
                <w:b w:val="0"/>
                <w:color w:val="auto"/>
                <w:sz w:val="18"/>
                <w:szCs w:val="18"/>
              </w:rPr>
              <w:t>.m.</w:t>
            </w:r>
            <w:r>
              <w:rPr>
                <w:b w:val="0"/>
                <w:color w:val="auto"/>
                <w:sz w:val="18"/>
                <w:szCs w:val="18"/>
              </w:rPr>
              <w:t xml:space="preserve"> – 4</w:t>
            </w:r>
            <w:r w:rsidR="002E3D09">
              <w:rPr>
                <w:b w:val="0"/>
                <w:color w:val="auto"/>
                <w:sz w:val="18"/>
                <w:szCs w:val="18"/>
              </w:rPr>
              <w:t>:00 p.m.</w:t>
            </w:r>
          </w:p>
        </w:tc>
        <w:tc>
          <w:tcPr>
            <w:tcW w:w="3060" w:type="dxa"/>
            <w:tcBorders>
              <w:top w:val="single" w:sz="4" w:space="0" w:color="auto"/>
              <w:left w:val="single" w:sz="8" w:space="0" w:color="auto"/>
              <w:bottom w:val="single" w:sz="4" w:space="0" w:color="auto"/>
              <w:right w:val="single" w:sz="8" w:space="0" w:color="auto"/>
            </w:tcBorders>
          </w:tcPr>
          <w:p w:rsidR="00FF01F1" w:rsidRPr="00C10A93" w:rsidP="002E3D09" w14:paraId="022A6D3E" w14:textId="21EFF7A6">
            <w:pPr>
              <w:pStyle w:val="AttendeesList"/>
              <w:spacing w:before="40" w:after="40" w:line="220" w:lineRule="exact"/>
              <w:rPr>
                <w:szCs w:val="18"/>
              </w:rPr>
            </w:pPr>
            <w:r w:rsidRPr="00C10A93">
              <w:rPr>
                <w:szCs w:val="18"/>
              </w:rPr>
              <w:t>WebEx</w:t>
            </w:r>
            <w:r>
              <w:rPr>
                <w:szCs w:val="18"/>
              </w:rPr>
              <w:t xml:space="preserve"> </w:t>
            </w:r>
          </w:p>
        </w:tc>
        <w:tc>
          <w:tcPr>
            <w:tcW w:w="1816" w:type="dxa"/>
            <w:tcBorders>
              <w:top w:val="single" w:sz="4" w:space="0" w:color="auto"/>
              <w:left w:val="single" w:sz="4" w:space="0" w:color="auto"/>
              <w:bottom w:val="single" w:sz="4" w:space="0" w:color="auto"/>
              <w:right w:val="single" w:sz="4" w:space="0" w:color="auto"/>
            </w:tcBorders>
          </w:tcPr>
          <w:p w:rsidR="00FF01F1" w:rsidP="002E3D09" w14:paraId="30AD88D7" w14:textId="75149F6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19</w:t>
            </w:r>
          </w:p>
        </w:tc>
        <w:tc>
          <w:tcPr>
            <w:tcW w:w="1534" w:type="dxa"/>
            <w:tcBorders>
              <w:top w:val="single" w:sz="4" w:space="0" w:color="auto"/>
              <w:left w:val="single" w:sz="4" w:space="0" w:color="auto"/>
              <w:bottom w:val="single" w:sz="4" w:space="0" w:color="auto"/>
              <w:right w:val="single" w:sz="4" w:space="0" w:color="auto"/>
            </w:tcBorders>
          </w:tcPr>
          <w:p w:rsidR="00FF01F1" w:rsidP="00B955AD" w14:paraId="0C67651F" w14:textId="2DF08F3E">
            <w:pPr>
              <w:pStyle w:val="DisclaimerHeading"/>
              <w:spacing w:before="40" w:after="40" w:line="220" w:lineRule="exact"/>
              <w:jc w:val="center"/>
              <w:rPr>
                <w:b w:val="0"/>
                <w:color w:val="auto"/>
                <w:sz w:val="18"/>
                <w:szCs w:val="18"/>
              </w:rPr>
            </w:pPr>
            <w:r>
              <w:rPr>
                <w:b w:val="0"/>
                <w:color w:val="auto"/>
                <w:sz w:val="18"/>
                <w:szCs w:val="18"/>
              </w:rPr>
              <w:t>June</w:t>
            </w:r>
            <w:r>
              <w:rPr>
                <w:b w:val="0"/>
                <w:color w:val="auto"/>
                <w:sz w:val="18"/>
                <w:szCs w:val="18"/>
              </w:rPr>
              <w:t xml:space="preserve"> </w:t>
            </w:r>
            <w:r>
              <w:rPr>
                <w:b w:val="0"/>
                <w:color w:val="auto"/>
                <w:sz w:val="18"/>
                <w:szCs w:val="18"/>
              </w:rPr>
              <w:t>22</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403C1F-F195-4E41-95D8-FC3F09EB116C}"/>
    <w:embedBold r:id="rId2" w:fontKey="{09A1101A-911A-48B2-8BCA-9D251ECA9E3D}"/>
    <w:embedItalic r:id="rId3" w:fontKey="{F3658959-9DDC-4A0F-A663-AD273D5AD7D2}"/>
  </w:font>
  <w:font w:name="Arial Narrow">
    <w:panose1 w:val="020B0606020202030204"/>
    <w:charset w:val="00"/>
    <w:family w:val="swiss"/>
    <w:pitch w:val="variable"/>
    <w:sig w:usb0="00000287" w:usb1="00000800" w:usb2="00000000" w:usb3="00000000" w:csb0="0000009F" w:csb1="00000000"/>
    <w:embedRegular r:id="rId4" w:fontKey="{1BF6ACF8-A526-4921-9985-AC8601829E0E}"/>
    <w:embedBold r:id="rId5" w:fontKey="{A4E6FD16-7A0A-48D9-838A-D76589F5884A}"/>
  </w:font>
  <w:font w:name="Tahoma">
    <w:panose1 w:val="020B0604030504040204"/>
    <w:charset w:val="00"/>
    <w:family w:val="swiss"/>
    <w:pitch w:val="variable"/>
    <w:sig w:usb0="E1002EFF" w:usb1="C000605B" w:usb2="00000029" w:usb3="00000000" w:csb0="000101FF" w:csb1="00000000"/>
    <w:embedRegular r:id="rId6" w:fontKey="{70F40D81-55F2-4701-B4BB-4C71F3D79E4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F596C30-B25A-4C42-9D57-242E78DC1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468DB61D">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15F40">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
    <w:nsid w:val="38BE08F7"/>
    <w:multiLevelType w:val="hybridMultilevel"/>
    <w:tmpl w:val="EB141C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3BA6029D"/>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1"/>
  </w:num>
  <w:num w:numId="3">
    <w:abstractNumId w:val="3"/>
  </w:num>
  <w:num w:numId="4">
    <w:abstractNumId w:val="4"/>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0AB0"/>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3A3"/>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2BC9"/>
    <w:rsid w:val="0029466B"/>
    <w:rsid w:val="00294B3B"/>
    <w:rsid w:val="002950D5"/>
    <w:rsid w:val="00295FFE"/>
    <w:rsid w:val="002975A6"/>
    <w:rsid w:val="002A05C8"/>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3D09"/>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5F4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3EA8"/>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521"/>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19B4"/>
    <w:rsid w:val="0085410C"/>
    <w:rsid w:val="00855089"/>
    <w:rsid w:val="008557DA"/>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3D97"/>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3C89"/>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55AD"/>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B7D62"/>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0C52"/>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26C6"/>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01F1"/>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deb6e5c9-0a1a-4dc2-bab0-8eed6d2e91ee" TargetMode="External" /><Relationship Id="rId6" Type="http://schemas.openxmlformats.org/officeDocument/2006/relationships/hyperlink" Target="https://www.pjm.com/-/media/committees-groups/committees/mic/2022/20221020-special/item-02---overview-of-enhanced-combined-cycle-model.ashx"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B00F2-4A6B-4181-872F-74013F93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